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29" w:rsidRDefault="00E11D29" w:rsidP="00C36946">
      <w:pPr>
        <w:spacing w:after="0" w:line="240" w:lineRule="auto"/>
        <w:rPr>
          <w:b/>
        </w:rPr>
      </w:pPr>
      <w:r>
        <w:rPr>
          <w:b/>
          <w:noProof/>
          <w:sz w:val="32"/>
          <w:szCs w:val="32"/>
          <w:lang w:eastAsia="en-IE"/>
        </w:rPr>
        <w:drawing>
          <wp:inline distT="0" distB="0" distL="0" distR="0" wp14:anchorId="7B7504FC" wp14:editId="534D2EFB">
            <wp:extent cx="168592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2694" cy="1356383"/>
                    </a:xfrm>
                    <a:prstGeom prst="rect">
                      <a:avLst/>
                    </a:prstGeom>
                    <a:noFill/>
                  </pic:spPr>
                </pic:pic>
              </a:graphicData>
            </a:graphic>
          </wp:inline>
        </w:drawing>
      </w:r>
      <w:r>
        <w:rPr>
          <w:b/>
          <w:noProof/>
          <w:sz w:val="32"/>
          <w:szCs w:val="32"/>
          <w:lang w:eastAsia="en-IE"/>
        </w:rPr>
        <w:drawing>
          <wp:inline distT="0" distB="0" distL="0" distR="0" wp14:anchorId="67D4A716" wp14:editId="641AE702">
            <wp:extent cx="2600325" cy="1470721"/>
            <wp:effectExtent l="0" t="0" r="0" b="0"/>
            <wp:docPr id="3" name="Picture 3" descr="C:\Users\mcgurnp.AranLifePatrick\Dropbox\Actions\Action E.3 Education\Calendar 2018\Photos for calander\For Printers\Logos\AranLIFE 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gurnp.AranLifePatrick\Dropbox\Actions\Action E.3 Education\Calendar 2018\Photos for calander\For Printers\Logos\AranLIFE Logo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1470721"/>
                    </a:xfrm>
                    <a:prstGeom prst="rect">
                      <a:avLst/>
                    </a:prstGeom>
                    <a:noFill/>
                    <a:ln>
                      <a:noFill/>
                    </a:ln>
                  </pic:spPr>
                </pic:pic>
              </a:graphicData>
            </a:graphic>
          </wp:inline>
        </w:drawing>
      </w:r>
      <w:r>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0" wp14:anchorId="5BF8C972" wp14:editId="7254F18E">
            <wp:simplePos x="0" y="0"/>
            <wp:positionH relativeFrom="column">
              <wp:posOffset>-517525</wp:posOffset>
            </wp:positionH>
            <wp:positionV relativeFrom="paragraph">
              <wp:posOffset>-316230</wp:posOffset>
            </wp:positionV>
            <wp:extent cx="1628775" cy="1284605"/>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284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D29" w:rsidRDefault="00E11D29" w:rsidP="00C36946">
      <w:pPr>
        <w:spacing w:after="0" w:line="240" w:lineRule="auto"/>
        <w:rPr>
          <w:b/>
        </w:rPr>
      </w:pPr>
    </w:p>
    <w:p w:rsidR="00E11D29" w:rsidRPr="00E11D29" w:rsidRDefault="00E11D29" w:rsidP="00E11D29">
      <w:pPr>
        <w:spacing w:after="0" w:line="240" w:lineRule="auto"/>
        <w:jc w:val="center"/>
        <w:rPr>
          <w:b/>
        </w:rPr>
      </w:pPr>
    </w:p>
    <w:p w:rsidR="00E11D29" w:rsidRDefault="00E11D29" w:rsidP="00E11D29">
      <w:pPr>
        <w:spacing w:after="0" w:line="240" w:lineRule="auto"/>
        <w:jc w:val="center"/>
        <w:rPr>
          <w:b/>
          <w:sz w:val="28"/>
          <w:szCs w:val="28"/>
        </w:rPr>
      </w:pPr>
    </w:p>
    <w:p w:rsidR="00E11D29" w:rsidRDefault="00E57FD8" w:rsidP="00E11D29">
      <w:pPr>
        <w:spacing w:after="0" w:line="240" w:lineRule="auto"/>
        <w:jc w:val="center"/>
        <w:rPr>
          <w:b/>
          <w:sz w:val="28"/>
          <w:szCs w:val="28"/>
        </w:rPr>
      </w:pPr>
      <w:r>
        <w:rPr>
          <w:b/>
          <w:sz w:val="28"/>
          <w:szCs w:val="28"/>
        </w:rPr>
        <w:t xml:space="preserve">7.3.30 </w:t>
      </w:r>
      <w:bookmarkStart w:id="0" w:name="_GoBack"/>
      <w:bookmarkEnd w:id="0"/>
      <w:r w:rsidR="00E11D29" w:rsidRPr="00E11D29">
        <w:rPr>
          <w:b/>
          <w:sz w:val="28"/>
          <w:szCs w:val="28"/>
        </w:rPr>
        <w:t>Recommendations on Habitat Assessment Protocols</w:t>
      </w:r>
    </w:p>
    <w:p w:rsidR="00E11D29" w:rsidRDefault="00E11D29" w:rsidP="00E11D29">
      <w:pPr>
        <w:spacing w:after="0" w:line="240" w:lineRule="auto"/>
        <w:jc w:val="center"/>
        <w:rPr>
          <w:b/>
          <w:sz w:val="28"/>
          <w:szCs w:val="28"/>
        </w:rPr>
      </w:pPr>
    </w:p>
    <w:p w:rsidR="00E11D29" w:rsidRPr="00E11D29" w:rsidRDefault="00E11D29" w:rsidP="00E11D29">
      <w:pPr>
        <w:spacing w:after="0" w:line="240" w:lineRule="auto"/>
        <w:jc w:val="center"/>
        <w:rPr>
          <w:b/>
          <w:sz w:val="28"/>
          <w:szCs w:val="28"/>
        </w:rPr>
      </w:pPr>
    </w:p>
    <w:p w:rsidR="00E11D29" w:rsidRDefault="00E11D29" w:rsidP="00C36946">
      <w:pPr>
        <w:spacing w:after="0" w:line="240" w:lineRule="auto"/>
        <w:rPr>
          <w:b/>
        </w:rPr>
      </w:pPr>
      <w:r>
        <w:rPr>
          <w:b/>
          <w:noProof/>
          <w:lang w:eastAsia="en-IE"/>
        </w:rPr>
        <w:drawing>
          <wp:inline distT="0" distB="0" distL="0" distR="0">
            <wp:extent cx="5731510" cy="4299291"/>
            <wp:effectExtent l="0" t="0" r="2540" b="6350"/>
            <wp:docPr id="4" name="Picture 4" descr="C:\Users\mcgurnp\Desktop\Photos\pre scub photos\Thomas Conneely\IMG_2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urnp\Desktop\Photos\pre scub photos\Thomas Conneely\IMG_22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9291"/>
                    </a:xfrm>
                    <a:prstGeom prst="rect">
                      <a:avLst/>
                    </a:prstGeom>
                    <a:noFill/>
                    <a:ln>
                      <a:noFill/>
                    </a:ln>
                  </pic:spPr>
                </pic:pic>
              </a:graphicData>
            </a:graphic>
          </wp:inline>
        </w:drawing>
      </w:r>
    </w:p>
    <w:p w:rsidR="00E11D29" w:rsidRDefault="00E11D29" w:rsidP="00C36946">
      <w:pPr>
        <w:spacing w:after="0" w:line="240" w:lineRule="auto"/>
        <w:rPr>
          <w:b/>
        </w:rPr>
      </w:pPr>
    </w:p>
    <w:p w:rsidR="00E11D29" w:rsidRDefault="00E11D29" w:rsidP="00C36946">
      <w:pPr>
        <w:spacing w:after="0" w:line="240" w:lineRule="auto"/>
        <w:rPr>
          <w:b/>
        </w:rPr>
      </w:pPr>
    </w:p>
    <w:p w:rsidR="00E11D29" w:rsidRDefault="00E11D29" w:rsidP="00C36946">
      <w:pPr>
        <w:spacing w:after="0" w:line="240" w:lineRule="auto"/>
        <w:rPr>
          <w:b/>
        </w:rPr>
      </w:pPr>
    </w:p>
    <w:p w:rsidR="00E11D29" w:rsidRDefault="00E11D29" w:rsidP="00C36946">
      <w:pPr>
        <w:spacing w:after="0" w:line="240" w:lineRule="auto"/>
        <w:rPr>
          <w:b/>
        </w:rPr>
      </w:pPr>
    </w:p>
    <w:p w:rsidR="00E11D29" w:rsidRDefault="00E11D29" w:rsidP="00C36946">
      <w:pPr>
        <w:spacing w:after="0" w:line="240" w:lineRule="auto"/>
        <w:rPr>
          <w:b/>
        </w:rPr>
      </w:pPr>
    </w:p>
    <w:p w:rsidR="00E11D29" w:rsidRDefault="00E11D29" w:rsidP="00C36946">
      <w:pPr>
        <w:spacing w:after="0" w:line="240" w:lineRule="auto"/>
        <w:rPr>
          <w:b/>
        </w:rPr>
      </w:pPr>
    </w:p>
    <w:p w:rsidR="00E11D29" w:rsidRDefault="00E11D29" w:rsidP="00C36946">
      <w:pPr>
        <w:spacing w:after="0" w:line="240" w:lineRule="auto"/>
        <w:rPr>
          <w:b/>
        </w:rPr>
      </w:pPr>
    </w:p>
    <w:p w:rsidR="00E11D29" w:rsidRDefault="00E11D29" w:rsidP="00C36946">
      <w:pPr>
        <w:spacing w:after="0" w:line="240" w:lineRule="auto"/>
        <w:rPr>
          <w:b/>
        </w:rPr>
      </w:pPr>
    </w:p>
    <w:p w:rsidR="00E11D29" w:rsidRDefault="00E11D29" w:rsidP="00C36946">
      <w:pPr>
        <w:spacing w:after="0" w:line="240" w:lineRule="auto"/>
        <w:rPr>
          <w:b/>
        </w:rPr>
      </w:pPr>
    </w:p>
    <w:p w:rsidR="00E11D29" w:rsidRDefault="00E11D29" w:rsidP="00C36946">
      <w:pPr>
        <w:spacing w:after="0" w:line="240" w:lineRule="auto"/>
        <w:rPr>
          <w:b/>
        </w:rPr>
      </w:pPr>
    </w:p>
    <w:p w:rsidR="00E11D29" w:rsidRDefault="00E11D29" w:rsidP="00C36946">
      <w:pPr>
        <w:spacing w:after="0" w:line="240" w:lineRule="auto"/>
        <w:rPr>
          <w:b/>
        </w:rPr>
      </w:pPr>
    </w:p>
    <w:p w:rsidR="00E11D29" w:rsidRDefault="00E11D29" w:rsidP="00C36946">
      <w:pPr>
        <w:spacing w:after="0" w:line="240" w:lineRule="auto"/>
        <w:rPr>
          <w:b/>
        </w:rPr>
      </w:pPr>
    </w:p>
    <w:p w:rsidR="00E11D29" w:rsidRDefault="00E11D29" w:rsidP="00C36946">
      <w:pPr>
        <w:spacing w:after="0" w:line="240" w:lineRule="auto"/>
        <w:rPr>
          <w:b/>
        </w:rPr>
      </w:pPr>
    </w:p>
    <w:p w:rsidR="00E11D29" w:rsidRDefault="00E11D29" w:rsidP="00C36946">
      <w:pPr>
        <w:spacing w:after="0" w:line="240" w:lineRule="auto"/>
        <w:rPr>
          <w:b/>
        </w:rPr>
      </w:pPr>
    </w:p>
    <w:p w:rsidR="00E11D29" w:rsidRDefault="00E11D29" w:rsidP="00C36946">
      <w:pPr>
        <w:spacing w:after="0" w:line="240" w:lineRule="auto"/>
        <w:rPr>
          <w:b/>
        </w:rPr>
      </w:pPr>
    </w:p>
    <w:p w:rsidR="00C36946" w:rsidRPr="00E11D29" w:rsidRDefault="00C36946" w:rsidP="00C36946">
      <w:pPr>
        <w:spacing w:after="0" w:line="240" w:lineRule="auto"/>
        <w:rPr>
          <w:b/>
        </w:rPr>
      </w:pPr>
      <w:r w:rsidRPr="00E11D29">
        <w:rPr>
          <w:b/>
        </w:rPr>
        <w:t>Introduction</w:t>
      </w:r>
    </w:p>
    <w:p w:rsidR="00C36946" w:rsidRPr="00C36946" w:rsidRDefault="00C36946" w:rsidP="00051A40">
      <w:pPr>
        <w:spacing w:after="0" w:line="240" w:lineRule="auto"/>
        <w:jc w:val="both"/>
      </w:pPr>
      <w:r w:rsidRPr="00C36946">
        <w:t>The EU Directive on the Conservation of Habitats, Flora and Fauna (92/43/EEC), commonly known</w:t>
      </w:r>
    </w:p>
    <w:p w:rsidR="00C36946" w:rsidRPr="00C36946" w:rsidRDefault="00C36946" w:rsidP="00051A40">
      <w:pPr>
        <w:spacing w:after="0" w:line="240" w:lineRule="auto"/>
        <w:jc w:val="both"/>
      </w:pPr>
      <w:proofErr w:type="gramStart"/>
      <w:r w:rsidRPr="00C36946">
        <w:t>as</w:t>
      </w:r>
      <w:proofErr w:type="gramEnd"/>
      <w:r w:rsidRPr="00C36946">
        <w:t xml:space="preserve"> “the Habitats Directive”, was adopted in 1992, came into force in 1994 and was transposed into</w:t>
      </w:r>
    </w:p>
    <w:p w:rsidR="00C36946" w:rsidRPr="00C36946" w:rsidRDefault="00C36946" w:rsidP="00051A40">
      <w:pPr>
        <w:spacing w:after="0" w:line="240" w:lineRule="auto"/>
        <w:jc w:val="both"/>
      </w:pPr>
      <w:r w:rsidRPr="00C36946">
        <w:t>Irish law in 1997. The main aim of the Habitats Directive is to contribute towards the conservation</w:t>
      </w:r>
    </w:p>
    <w:p w:rsidR="00C36946" w:rsidRDefault="00C36946" w:rsidP="00051A40">
      <w:pPr>
        <w:spacing w:after="0" w:line="240" w:lineRule="auto"/>
        <w:jc w:val="both"/>
      </w:pPr>
      <w:proofErr w:type="gramStart"/>
      <w:r w:rsidRPr="00C36946">
        <w:t>of</w:t>
      </w:r>
      <w:proofErr w:type="gramEnd"/>
      <w:r w:rsidRPr="00C36946">
        <w:t xml:space="preserve"> biodiversity by requiring Member States to take measures to maintain or restore natural habitats and wild species listed on the Annexes to the Directive at a favourable conservation status.  Under Article 11 of the Directive, each member state is obliged to undertake surveillance of the conservation status of the natural habitats and species in the Annexes and under Article 17, to report to the European Commission every six years on their status and on the implementation of the measures taken under the Directive</w:t>
      </w:r>
      <w:r>
        <w:t xml:space="preserve"> (NPWS 2013)</w:t>
      </w:r>
      <w:r w:rsidRPr="00C36946">
        <w:t>.</w:t>
      </w:r>
      <w:r>
        <w:t xml:space="preserve">  </w:t>
      </w:r>
    </w:p>
    <w:p w:rsidR="00C36946" w:rsidRPr="00C36946" w:rsidRDefault="00C36946" w:rsidP="00051A40">
      <w:pPr>
        <w:spacing w:after="0" w:line="240" w:lineRule="auto"/>
        <w:jc w:val="both"/>
      </w:pPr>
    </w:p>
    <w:p w:rsidR="00C36946" w:rsidRPr="00C36946" w:rsidRDefault="00C36946" w:rsidP="00051A40">
      <w:pPr>
        <w:spacing w:after="0" w:line="240" w:lineRule="auto"/>
        <w:jc w:val="both"/>
      </w:pPr>
      <w:r w:rsidRPr="00C36946">
        <w:t>The conservation status of a habitat is defined in Article 1 of the Directive as the sum of the influences acting on a natural habitat and its typical species that may affect its long-term natural distribution, structure and functions as well as the long-term survival of its typical species. The conservation status of a natural habitat will be taken as favourable when:</w:t>
      </w:r>
    </w:p>
    <w:p w:rsidR="00C36946" w:rsidRPr="00C36946" w:rsidRDefault="00C36946" w:rsidP="00051A40">
      <w:pPr>
        <w:spacing w:after="0" w:line="240" w:lineRule="auto"/>
        <w:jc w:val="both"/>
      </w:pPr>
    </w:p>
    <w:p w:rsidR="00C36946" w:rsidRPr="00C36946" w:rsidRDefault="00C36946" w:rsidP="00051A40">
      <w:pPr>
        <w:spacing w:after="0" w:line="240" w:lineRule="auto"/>
        <w:jc w:val="both"/>
      </w:pPr>
      <w:r w:rsidRPr="00C36946">
        <w:t xml:space="preserve">- </w:t>
      </w:r>
      <w:proofErr w:type="gramStart"/>
      <w:r w:rsidRPr="00C36946">
        <w:t>its</w:t>
      </w:r>
      <w:proofErr w:type="gramEnd"/>
      <w:r w:rsidRPr="00C36946">
        <w:t xml:space="preserve"> natural range and areas it covers within that</w:t>
      </w:r>
      <w:r>
        <w:t xml:space="preserve"> </w:t>
      </w:r>
      <w:r w:rsidRPr="00C36946">
        <w:t>range are stable or increasing, and</w:t>
      </w:r>
    </w:p>
    <w:p w:rsidR="00C36946" w:rsidRPr="00C36946" w:rsidRDefault="00C36946" w:rsidP="00051A40">
      <w:pPr>
        <w:spacing w:after="0" w:line="240" w:lineRule="auto"/>
        <w:ind w:left="142" w:hanging="142"/>
        <w:jc w:val="both"/>
      </w:pPr>
      <w:r w:rsidRPr="00C36946">
        <w:t xml:space="preserve">- </w:t>
      </w:r>
      <w:proofErr w:type="gramStart"/>
      <w:r w:rsidRPr="00C36946">
        <w:t>the</w:t>
      </w:r>
      <w:proofErr w:type="gramEnd"/>
      <w:r w:rsidRPr="00C36946">
        <w:t xml:space="preserve"> specific structure and functions which are necessary for its long-term maintenance exist and     are likely to continue to exist for the foreseeable future, and</w:t>
      </w:r>
    </w:p>
    <w:p w:rsidR="00C36946" w:rsidRPr="00C36946" w:rsidRDefault="00C36946" w:rsidP="00051A40">
      <w:pPr>
        <w:spacing w:after="0" w:line="240" w:lineRule="auto"/>
        <w:jc w:val="both"/>
      </w:pPr>
      <w:r w:rsidRPr="00C36946">
        <w:t xml:space="preserve">- </w:t>
      </w:r>
      <w:proofErr w:type="gramStart"/>
      <w:r w:rsidRPr="00C36946">
        <w:t>the</w:t>
      </w:r>
      <w:proofErr w:type="gramEnd"/>
      <w:r w:rsidRPr="00C36946">
        <w:t xml:space="preserve"> conservation status of its typical species is favourable.</w:t>
      </w:r>
    </w:p>
    <w:p w:rsidR="00C36946" w:rsidRDefault="00C36946" w:rsidP="00051A40">
      <w:pPr>
        <w:spacing w:after="0" w:line="240" w:lineRule="auto"/>
        <w:jc w:val="both"/>
        <w:rPr>
          <w:b/>
        </w:rPr>
      </w:pPr>
    </w:p>
    <w:p w:rsidR="00C36946" w:rsidRPr="00A7490F" w:rsidRDefault="00C36946" w:rsidP="00A7490F">
      <w:pPr>
        <w:spacing w:after="0" w:line="240" w:lineRule="auto"/>
        <w:jc w:val="both"/>
      </w:pPr>
      <w:r w:rsidRPr="00C36946">
        <w:t>For habitats, the assessment of structures and functions includes</w:t>
      </w:r>
      <w:r w:rsidR="00051A40">
        <w:t xml:space="preserve"> an assessment of the condition </w:t>
      </w:r>
      <w:r w:rsidRPr="00C36946">
        <w:t>and the typical species that characterise the habitat.</w:t>
      </w:r>
      <w:r>
        <w:t xml:space="preserve"> </w:t>
      </w:r>
      <w:proofErr w:type="gramStart"/>
      <w:r>
        <w:t xml:space="preserve">(NPWS </w:t>
      </w:r>
      <w:r w:rsidRPr="00C36946">
        <w:t>2013).</w:t>
      </w:r>
      <w:proofErr w:type="gramEnd"/>
      <w:r w:rsidR="00051A40">
        <w:t xml:space="preserve">  factors, including forb : </w:t>
      </w:r>
      <w:proofErr w:type="spellStart"/>
      <w:r w:rsidR="00051A40">
        <w:t>graminoid</w:t>
      </w:r>
      <w:proofErr w:type="spellEnd"/>
      <w:r w:rsidR="00051A40">
        <w:t xml:space="preserve">, positive indicator species, negative indicator species, scrub and bracken encroachment, sward height, litter cover, extent of bare ground, and grazing and disturbance levels. Thresholds for each of these values for </w:t>
      </w:r>
      <w:r w:rsidR="00A7490F" w:rsidRPr="00A7490F">
        <w:t>6210 Semi-natural dry grasslands &amp; scrub facies on calcareous substrates (</w:t>
      </w:r>
      <w:proofErr w:type="spellStart"/>
      <w:r w:rsidR="00A7490F" w:rsidRPr="00A7490F">
        <w:t>FestucoBrometalia</w:t>
      </w:r>
      <w:proofErr w:type="spellEnd"/>
      <w:r w:rsidR="00A7490F" w:rsidRPr="00A7490F">
        <w:t>) are detailed below</w:t>
      </w:r>
      <w:r w:rsidR="00A7490F">
        <w:t xml:space="preserve"> (O’Neill et al. 2013)</w:t>
      </w:r>
      <w:r w:rsidR="00A7490F" w:rsidRPr="00A7490F">
        <w:t>.</w:t>
      </w:r>
    </w:p>
    <w:p w:rsidR="00C36946" w:rsidRDefault="00C36946" w:rsidP="00905A6D">
      <w:pPr>
        <w:spacing w:after="0" w:line="240" w:lineRule="auto"/>
        <w:rPr>
          <w:b/>
        </w:rPr>
      </w:pPr>
    </w:p>
    <w:p w:rsidR="00C36946" w:rsidRDefault="00C36946" w:rsidP="00905A6D">
      <w:pPr>
        <w:spacing w:after="0" w:line="240" w:lineRule="auto"/>
        <w:rPr>
          <w:b/>
        </w:rPr>
      </w:pPr>
    </w:p>
    <w:p w:rsidR="00905A6D" w:rsidRDefault="00905A6D" w:rsidP="00905A6D">
      <w:pPr>
        <w:spacing w:after="0" w:line="240" w:lineRule="auto"/>
        <w:rPr>
          <w:b/>
        </w:rPr>
      </w:pPr>
      <w:r w:rsidRPr="00905A6D">
        <w:rPr>
          <w:b/>
        </w:rPr>
        <w:t>6210 Semi-natural dry grasslands &amp; scrub facies on calcareous substrates (</w:t>
      </w:r>
      <w:proofErr w:type="spellStart"/>
      <w:r w:rsidRPr="00905A6D">
        <w:rPr>
          <w:b/>
        </w:rPr>
        <w:t>FestucoBrometalia</w:t>
      </w:r>
      <w:proofErr w:type="spellEnd"/>
      <w:r w:rsidRPr="00905A6D">
        <w:rPr>
          <w:b/>
        </w:rPr>
        <w:t>) (*important orchid sites)</w:t>
      </w:r>
    </w:p>
    <w:p w:rsidR="00905A6D" w:rsidRPr="00905A6D" w:rsidRDefault="00905A6D" w:rsidP="00905A6D">
      <w:pPr>
        <w:spacing w:after="0" w:line="240" w:lineRule="auto"/>
        <w:rPr>
          <w:b/>
        </w:rPr>
      </w:pPr>
    </w:p>
    <w:p w:rsidR="00905A6D" w:rsidRDefault="00905A6D" w:rsidP="00905A6D">
      <w:pPr>
        <w:spacing w:after="0" w:line="360" w:lineRule="auto"/>
      </w:pPr>
      <w:r>
        <w:t xml:space="preserve">Criteria </w:t>
      </w:r>
      <w:r w:rsidR="00F24016">
        <w:tab/>
      </w:r>
      <w:r w:rsidR="00F24016">
        <w:tab/>
      </w:r>
      <w:r w:rsidR="00F24016">
        <w:tab/>
      </w:r>
      <w:r w:rsidR="00F24016">
        <w:tab/>
      </w:r>
      <w:r w:rsidR="00F24016">
        <w:tab/>
      </w:r>
      <w:r w:rsidR="00F24016">
        <w:tab/>
      </w:r>
      <w:r w:rsidR="00F24016">
        <w:tab/>
      </w:r>
      <w:r w:rsidR="00F24016">
        <w:tab/>
      </w:r>
      <w:r w:rsidR="00F24016">
        <w:tab/>
      </w:r>
      <w:r>
        <w:t>Scale of assessment</w:t>
      </w:r>
    </w:p>
    <w:p w:rsidR="00905A6D" w:rsidRPr="00905A6D" w:rsidRDefault="00905A6D" w:rsidP="00905A6D">
      <w:pPr>
        <w:spacing w:after="0" w:line="360" w:lineRule="auto"/>
        <w:rPr>
          <w:b/>
        </w:rPr>
      </w:pPr>
      <w:r w:rsidRPr="00905A6D">
        <w:rPr>
          <w:b/>
        </w:rPr>
        <w:t>Vegetation composition</w:t>
      </w:r>
    </w:p>
    <w:p w:rsidR="00905A6D" w:rsidRDefault="00905A6D" w:rsidP="00905A6D">
      <w:pPr>
        <w:spacing w:after="0" w:line="360" w:lineRule="auto"/>
      </w:pPr>
      <w:r w:rsidRPr="00F24016">
        <w:rPr>
          <w:b/>
        </w:rPr>
        <w:t>1</w:t>
      </w:r>
      <w:r>
        <w:t xml:space="preserve"> Total number of positive indicator species present ≥ 7 </w:t>
      </w:r>
      <w:r w:rsidR="00F24016">
        <w:tab/>
      </w:r>
      <w:r w:rsidR="00F24016">
        <w:tab/>
      </w:r>
      <w:r w:rsidR="00F24016">
        <w:tab/>
      </w:r>
      <w:r>
        <w:t>Relevé</w:t>
      </w:r>
    </w:p>
    <w:p w:rsidR="00905A6D" w:rsidRDefault="00905A6D" w:rsidP="00905A6D">
      <w:pPr>
        <w:spacing w:after="0" w:line="360" w:lineRule="auto"/>
      </w:pPr>
      <w:r w:rsidRPr="00F24016">
        <w:rPr>
          <w:b/>
        </w:rPr>
        <w:t>2</w:t>
      </w:r>
      <w:r>
        <w:t xml:space="preserve"> Number of high quality species present ≥ 2</w:t>
      </w:r>
      <w:r w:rsidR="00F24016">
        <w:tab/>
      </w:r>
      <w:r w:rsidR="00F24016">
        <w:tab/>
      </w:r>
      <w:r w:rsidR="00F24016">
        <w:tab/>
        <w:t xml:space="preserve">              </w:t>
      </w:r>
      <w:r>
        <w:t xml:space="preserve"> Relevé</w:t>
      </w:r>
    </w:p>
    <w:p w:rsidR="00905A6D" w:rsidRDefault="00905A6D" w:rsidP="00905A6D">
      <w:pPr>
        <w:spacing w:after="0" w:line="360" w:lineRule="auto"/>
      </w:pPr>
      <w:r w:rsidRPr="00F24016">
        <w:rPr>
          <w:b/>
        </w:rPr>
        <w:t>3</w:t>
      </w:r>
      <w:r>
        <w:t xml:space="preserve"> Cover of non-native species ≤ 1% </w:t>
      </w:r>
      <w:r w:rsidR="006D0935">
        <w:tab/>
      </w:r>
      <w:r w:rsidR="006D0935">
        <w:tab/>
      </w:r>
      <w:r w:rsidR="006D0935">
        <w:tab/>
      </w:r>
      <w:r w:rsidR="006D0935">
        <w:tab/>
      </w:r>
      <w:r w:rsidR="006D0935">
        <w:tab/>
      </w:r>
      <w:r>
        <w:t>Relevé</w:t>
      </w:r>
    </w:p>
    <w:p w:rsidR="00F24016" w:rsidRDefault="00905A6D" w:rsidP="00905A6D">
      <w:pPr>
        <w:spacing w:after="0" w:line="360" w:lineRule="auto"/>
      </w:pPr>
      <w:r w:rsidRPr="00F24016">
        <w:rPr>
          <w:b/>
        </w:rPr>
        <w:t>4</w:t>
      </w:r>
      <w:r>
        <w:t xml:space="preserve"> Cover of the following negative indicator species: </w:t>
      </w:r>
    </w:p>
    <w:p w:rsidR="00F24016" w:rsidRDefault="00905A6D" w:rsidP="00905A6D">
      <w:pPr>
        <w:spacing w:after="0" w:line="360" w:lineRule="auto"/>
      </w:pPr>
      <w:proofErr w:type="spellStart"/>
      <w:r>
        <w:t>Arrhenatherum</w:t>
      </w:r>
      <w:proofErr w:type="spellEnd"/>
      <w:r>
        <w:t xml:space="preserve"> </w:t>
      </w:r>
      <w:proofErr w:type="spellStart"/>
      <w:r>
        <w:t>elatius</w:t>
      </w:r>
      <w:proofErr w:type="spellEnd"/>
      <w:r>
        <w:t xml:space="preserve">, </w:t>
      </w:r>
      <w:proofErr w:type="spellStart"/>
      <w:r>
        <w:t>Cirsium</w:t>
      </w:r>
      <w:proofErr w:type="spellEnd"/>
      <w:r>
        <w:t xml:space="preserve"> </w:t>
      </w:r>
      <w:proofErr w:type="spellStart"/>
      <w:r>
        <w:t>arvense</w:t>
      </w:r>
      <w:proofErr w:type="spellEnd"/>
      <w:r>
        <w:t xml:space="preserve">, </w:t>
      </w:r>
      <w:proofErr w:type="spellStart"/>
      <w:r>
        <w:t>Cirsium</w:t>
      </w:r>
      <w:proofErr w:type="spellEnd"/>
      <w:r>
        <w:t xml:space="preserve"> vulgare, </w:t>
      </w:r>
    </w:p>
    <w:p w:rsidR="00F24016" w:rsidRDefault="00905A6D" w:rsidP="00905A6D">
      <w:pPr>
        <w:spacing w:after="0" w:line="360" w:lineRule="auto"/>
      </w:pPr>
      <w:proofErr w:type="spellStart"/>
      <w:r>
        <w:t>Dactylis</w:t>
      </w:r>
      <w:proofErr w:type="spellEnd"/>
      <w:r>
        <w:t xml:space="preserve"> </w:t>
      </w:r>
      <w:proofErr w:type="spellStart"/>
      <w:r>
        <w:t>glomerata</w:t>
      </w:r>
      <w:proofErr w:type="spellEnd"/>
      <w:r>
        <w:t xml:space="preserve">, </w:t>
      </w:r>
      <w:proofErr w:type="spellStart"/>
      <w:r>
        <w:t>Lolium</w:t>
      </w:r>
      <w:proofErr w:type="spellEnd"/>
      <w:r>
        <w:t xml:space="preserve"> </w:t>
      </w:r>
      <w:proofErr w:type="spellStart"/>
      <w:r>
        <w:t>perenne</w:t>
      </w:r>
      <w:proofErr w:type="spellEnd"/>
      <w:r>
        <w:t xml:space="preserve">, </w:t>
      </w:r>
      <w:proofErr w:type="spellStart"/>
      <w:r>
        <w:t>Rumex</w:t>
      </w:r>
      <w:proofErr w:type="spellEnd"/>
      <w:r>
        <w:t xml:space="preserve"> </w:t>
      </w:r>
      <w:proofErr w:type="spellStart"/>
      <w:r>
        <w:t>crispus</w:t>
      </w:r>
      <w:proofErr w:type="spellEnd"/>
      <w:r>
        <w:t xml:space="preserve">, </w:t>
      </w:r>
    </w:p>
    <w:p w:rsidR="00F24016" w:rsidRDefault="00905A6D" w:rsidP="00905A6D">
      <w:pPr>
        <w:spacing w:after="0" w:line="360" w:lineRule="auto"/>
      </w:pPr>
      <w:proofErr w:type="spellStart"/>
      <w:r>
        <w:t>Rumex</w:t>
      </w:r>
      <w:proofErr w:type="spellEnd"/>
      <w:r>
        <w:t xml:space="preserve"> </w:t>
      </w:r>
      <w:proofErr w:type="spellStart"/>
      <w:r>
        <w:t>obtusifolius</w:t>
      </w:r>
      <w:proofErr w:type="spellEnd"/>
      <w:r>
        <w:t xml:space="preserve">, </w:t>
      </w:r>
      <w:proofErr w:type="spellStart"/>
      <w:r>
        <w:t>Senecio</w:t>
      </w:r>
      <w:proofErr w:type="spellEnd"/>
      <w:r>
        <w:t xml:space="preserve"> </w:t>
      </w:r>
      <w:proofErr w:type="spellStart"/>
      <w:r>
        <w:t>jacobaea</w:t>
      </w:r>
      <w:proofErr w:type="spellEnd"/>
      <w:r>
        <w:t xml:space="preserve">, </w:t>
      </w:r>
      <w:proofErr w:type="spellStart"/>
      <w:r>
        <w:t>Trifolium</w:t>
      </w:r>
      <w:proofErr w:type="spellEnd"/>
      <w:r>
        <w:t xml:space="preserve"> </w:t>
      </w:r>
      <w:proofErr w:type="spellStart"/>
      <w:r>
        <w:t>repens</w:t>
      </w:r>
      <w:proofErr w:type="spellEnd"/>
      <w:r>
        <w:t xml:space="preserve">, </w:t>
      </w:r>
    </w:p>
    <w:p w:rsidR="00905A6D" w:rsidRDefault="00905A6D" w:rsidP="00905A6D">
      <w:pPr>
        <w:spacing w:after="0" w:line="360" w:lineRule="auto"/>
      </w:pPr>
      <w:proofErr w:type="spellStart"/>
      <w:r>
        <w:t>Urtica</w:t>
      </w:r>
      <w:proofErr w:type="spellEnd"/>
      <w:r>
        <w:t xml:space="preserve"> </w:t>
      </w:r>
      <w:proofErr w:type="spellStart"/>
      <w:r>
        <w:t>dioica</w:t>
      </w:r>
      <w:proofErr w:type="spellEnd"/>
      <w:r>
        <w:t xml:space="preserve">, individually ≤ 10% </w:t>
      </w:r>
      <w:r w:rsidR="00F24016">
        <w:tab/>
      </w:r>
      <w:r w:rsidR="00F24016">
        <w:tab/>
      </w:r>
      <w:r w:rsidR="00F24016">
        <w:tab/>
      </w:r>
      <w:r w:rsidR="00F24016">
        <w:tab/>
      </w:r>
      <w:r w:rsidR="00F24016">
        <w:tab/>
      </w:r>
      <w:r>
        <w:t>Relevé</w:t>
      </w:r>
    </w:p>
    <w:p w:rsidR="00905A6D" w:rsidRDefault="00905A6D" w:rsidP="00905A6D">
      <w:pPr>
        <w:spacing w:after="0" w:line="360" w:lineRule="auto"/>
      </w:pPr>
      <w:r w:rsidRPr="00F24016">
        <w:rPr>
          <w:b/>
        </w:rPr>
        <w:t>5</w:t>
      </w:r>
      <w:r>
        <w:t xml:space="preserve"> Cover of the above negative indicator species collectively ≤ 20% </w:t>
      </w:r>
      <w:r w:rsidR="00F24016">
        <w:tab/>
      </w:r>
      <w:r>
        <w:t>Relevé</w:t>
      </w:r>
    </w:p>
    <w:p w:rsidR="00F24016" w:rsidRDefault="00905A6D" w:rsidP="00905A6D">
      <w:pPr>
        <w:spacing w:after="0" w:line="360" w:lineRule="auto"/>
      </w:pPr>
      <w:r w:rsidRPr="00F24016">
        <w:rPr>
          <w:b/>
        </w:rPr>
        <w:t>6</w:t>
      </w:r>
      <w:r>
        <w:t xml:space="preserve"> Cover of scrub, bracken, heath </w:t>
      </w:r>
    </w:p>
    <w:p w:rsidR="00F24016" w:rsidRDefault="00905A6D" w:rsidP="00905A6D">
      <w:pPr>
        <w:spacing w:after="0" w:line="360" w:lineRule="auto"/>
      </w:pPr>
      <w:r>
        <w:t>(</w:t>
      </w:r>
      <w:proofErr w:type="gramStart"/>
      <w:r>
        <w:t>woody</w:t>
      </w:r>
      <w:proofErr w:type="gramEnd"/>
      <w:r>
        <w:t xml:space="preserve"> species except </w:t>
      </w:r>
      <w:proofErr w:type="spellStart"/>
      <w:r>
        <w:t>Juniperus</w:t>
      </w:r>
      <w:proofErr w:type="spellEnd"/>
      <w:r>
        <w:t xml:space="preserve"> </w:t>
      </w:r>
      <w:proofErr w:type="spellStart"/>
      <w:r>
        <w:t>communis</w:t>
      </w:r>
      <w:proofErr w:type="spellEnd"/>
      <w:r>
        <w:t xml:space="preserve">, Rosa </w:t>
      </w:r>
      <w:proofErr w:type="spellStart"/>
      <w:r>
        <w:t>spinosissima</w:t>
      </w:r>
      <w:proofErr w:type="spellEnd"/>
      <w:r>
        <w:t xml:space="preserve">, </w:t>
      </w:r>
    </w:p>
    <w:p w:rsidR="00905A6D" w:rsidRDefault="00905A6D" w:rsidP="00905A6D">
      <w:pPr>
        <w:spacing w:after="0" w:line="360" w:lineRule="auto"/>
      </w:pPr>
      <w:r>
        <w:t xml:space="preserve">Dryas </w:t>
      </w:r>
      <w:proofErr w:type="spellStart"/>
      <w:r>
        <w:t>octopetala</w:t>
      </w:r>
      <w:proofErr w:type="spellEnd"/>
      <w:r>
        <w:t xml:space="preserve"> and </w:t>
      </w:r>
      <w:proofErr w:type="spellStart"/>
      <w:r>
        <w:t>Helianthemum</w:t>
      </w:r>
      <w:proofErr w:type="spellEnd"/>
      <w:r>
        <w:t xml:space="preserve"> </w:t>
      </w:r>
      <w:proofErr w:type="spellStart"/>
      <w:r>
        <w:t>oelandicum</w:t>
      </w:r>
      <w:proofErr w:type="spellEnd"/>
      <w:r>
        <w:t xml:space="preserve">) † ≤ 5% </w:t>
      </w:r>
      <w:r w:rsidR="00F24016">
        <w:t xml:space="preserve">  </w:t>
      </w:r>
      <w:r w:rsidR="00F24016">
        <w:tab/>
      </w:r>
      <w:r w:rsidR="00F24016">
        <w:tab/>
      </w:r>
      <w:r>
        <w:t>Relevé</w:t>
      </w:r>
    </w:p>
    <w:p w:rsidR="00905A6D" w:rsidRPr="00905A6D" w:rsidRDefault="00905A6D" w:rsidP="00905A6D">
      <w:pPr>
        <w:spacing w:after="0" w:line="360" w:lineRule="auto"/>
        <w:rPr>
          <w:b/>
        </w:rPr>
      </w:pPr>
      <w:r w:rsidRPr="00905A6D">
        <w:rPr>
          <w:b/>
        </w:rPr>
        <w:lastRenderedPageBreak/>
        <w:t>Vegetation structure</w:t>
      </w:r>
    </w:p>
    <w:p w:rsidR="00905A6D" w:rsidRDefault="00905A6D" w:rsidP="00905A6D">
      <w:r w:rsidRPr="00F24016">
        <w:rPr>
          <w:b/>
        </w:rPr>
        <w:t>7</w:t>
      </w:r>
      <w:r>
        <w:t xml:space="preserve"> Forb component of </w:t>
      </w:r>
      <w:proofErr w:type="gramStart"/>
      <w:r>
        <w:t>forb :</w:t>
      </w:r>
      <w:proofErr w:type="gramEnd"/>
      <w:r>
        <w:t xml:space="preserve"> </w:t>
      </w:r>
      <w:proofErr w:type="spellStart"/>
      <w:r>
        <w:t>graminoid</w:t>
      </w:r>
      <w:proofErr w:type="spellEnd"/>
      <w:r>
        <w:t xml:space="preserve"> ratio 40-90% </w:t>
      </w:r>
      <w:r w:rsidR="00F24016">
        <w:tab/>
      </w:r>
      <w:r w:rsidR="00F24016">
        <w:tab/>
      </w:r>
      <w:r w:rsidR="00F24016">
        <w:tab/>
      </w:r>
      <w:r>
        <w:t>Relevé</w:t>
      </w:r>
    </w:p>
    <w:p w:rsidR="00905A6D" w:rsidRDefault="00905A6D" w:rsidP="00905A6D">
      <w:r w:rsidRPr="00F24016">
        <w:rPr>
          <w:b/>
        </w:rPr>
        <w:t>8</w:t>
      </w:r>
      <w:r>
        <w:t xml:space="preserve"> Proportion of the sward between 5-40 cm tall ≥ 30% </w:t>
      </w:r>
      <w:r w:rsidR="00F24016">
        <w:tab/>
      </w:r>
      <w:r w:rsidR="00F24016">
        <w:tab/>
      </w:r>
      <w:r w:rsidR="00F24016">
        <w:tab/>
      </w:r>
      <w:r>
        <w:t>Relevé</w:t>
      </w:r>
    </w:p>
    <w:p w:rsidR="00905A6D" w:rsidRDefault="00905A6D" w:rsidP="00905A6D">
      <w:r w:rsidRPr="00F24016">
        <w:rPr>
          <w:b/>
        </w:rPr>
        <w:t>9</w:t>
      </w:r>
      <w:r>
        <w:t xml:space="preserve"> Litter cover ≤ 25% </w:t>
      </w:r>
      <w:r w:rsidR="00F24016">
        <w:tab/>
      </w:r>
      <w:r w:rsidR="00F24016">
        <w:tab/>
      </w:r>
      <w:r w:rsidR="00F24016">
        <w:tab/>
      </w:r>
      <w:r w:rsidR="00F24016">
        <w:tab/>
      </w:r>
      <w:r w:rsidR="00F24016">
        <w:tab/>
      </w:r>
      <w:r w:rsidR="00F24016">
        <w:tab/>
      </w:r>
      <w:r w:rsidR="00F24016">
        <w:tab/>
      </w:r>
      <w:r>
        <w:t>Relevé</w:t>
      </w:r>
    </w:p>
    <w:p w:rsidR="00905A6D" w:rsidRPr="00905A6D" w:rsidRDefault="00905A6D" w:rsidP="00905A6D">
      <w:pPr>
        <w:rPr>
          <w:b/>
        </w:rPr>
      </w:pPr>
      <w:r w:rsidRPr="00905A6D">
        <w:rPr>
          <w:b/>
        </w:rPr>
        <w:t>Physical structure</w:t>
      </w:r>
    </w:p>
    <w:p w:rsidR="00905A6D" w:rsidRDefault="00905A6D" w:rsidP="00905A6D">
      <w:r w:rsidRPr="00F24016">
        <w:rPr>
          <w:b/>
        </w:rPr>
        <w:t>10</w:t>
      </w:r>
      <w:r>
        <w:t xml:space="preserve"> Cover of bare soil ≤ 10% </w:t>
      </w:r>
      <w:r w:rsidR="006D0935">
        <w:tab/>
      </w:r>
      <w:r w:rsidR="006D0935">
        <w:tab/>
      </w:r>
      <w:r w:rsidR="006D0935">
        <w:tab/>
      </w:r>
      <w:r w:rsidR="006D0935">
        <w:tab/>
      </w:r>
      <w:r w:rsidR="006D0935">
        <w:tab/>
      </w:r>
      <w:r w:rsidR="006D0935">
        <w:tab/>
      </w:r>
      <w:r>
        <w:t>Relevé</w:t>
      </w:r>
    </w:p>
    <w:p w:rsidR="006D0935" w:rsidRDefault="00905A6D" w:rsidP="006D0935">
      <w:pPr>
        <w:spacing w:after="0"/>
      </w:pPr>
      <w:r>
        <w:t>11 Area of the habitat showing signs of serious</w:t>
      </w:r>
    </w:p>
    <w:p w:rsidR="00905A6D" w:rsidRPr="00905A6D" w:rsidRDefault="00905A6D" w:rsidP="006D0935">
      <w:pPr>
        <w:spacing w:after="0"/>
      </w:pPr>
      <w:proofErr w:type="gramStart"/>
      <w:r>
        <w:t>grazing</w:t>
      </w:r>
      <w:proofErr w:type="gramEnd"/>
      <w:r>
        <w:t xml:space="preserve"> or disturbance &lt; 20 m2 </w:t>
      </w:r>
      <w:r w:rsidR="00F24016">
        <w:tab/>
      </w:r>
      <w:r w:rsidR="00F24016">
        <w:tab/>
      </w:r>
      <w:r w:rsidR="00F24016">
        <w:tab/>
      </w:r>
      <w:r w:rsidR="00F24016">
        <w:tab/>
      </w:r>
      <w:r w:rsidR="00F24016">
        <w:tab/>
      </w:r>
      <w:r w:rsidR="006D0935">
        <w:tab/>
      </w:r>
      <w:r>
        <w:t>Local vicinity</w:t>
      </w:r>
    </w:p>
    <w:p w:rsidR="006D0935" w:rsidRDefault="006D0935" w:rsidP="00905A6D">
      <w:pPr>
        <w:rPr>
          <w:b/>
        </w:rPr>
      </w:pPr>
    </w:p>
    <w:p w:rsidR="00905A6D" w:rsidRDefault="00905A6D" w:rsidP="00905A6D">
      <w:pPr>
        <w:rPr>
          <w:b/>
        </w:rPr>
      </w:pPr>
      <w:r w:rsidRPr="00905A6D">
        <w:rPr>
          <w:b/>
        </w:rPr>
        <w:t>Positive Indicator Species</w:t>
      </w:r>
    </w:p>
    <w:p w:rsidR="00905A6D" w:rsidRDefault="00905A6D" w:rsidP="00905A6D">
      <w:pPr>
        <w:rPr>
          <w:b/>
        </w:rPr>
      </w:pPr>
      <w:proofErr w:type="spellStart"/>
      <w:r>
        <w:t>Arabis</w:t>
      </w:r>
      <w:proofErr w:type="spellEnd"/>
      <w:r>
        <w:t xml:space="preserve"> hirsute, </w:t>
      </w:r>
      <w:proofErr w:type="spellStart"/>
      <w:r w:rsidRPr="00905A6D">
        <w:t>Brachypodium</w:t>
      </w:r>
      <w:proofErr w:type="spellEnd"/>
      <w:r w:rsidRPr="00905A6D">
        <w:t xml:space="preserve"> </w:t>
      </w:r>
      <w:proofErr w:type="spellStart"/>
      <w:r w:rsidRPr="00905A6D">
        <w:t>pinnatum</w:t>
      </w:r>
      <w:proofErr w:type="spellEnd"/>
      <w:r>
        <w:t xml:space="preserve">, </w:t>
      </w:r>
      <w:proofErr w:type="spellStart"/>
      <w:r w:rsidRPr="00905A6D">
        <w:t>Bromopsis</w:t>
      </w:r>
      <w:proofErr w:type="spellEnd"/>
      <w:r w:rsidRPr="00905A6D">
        <w:t xml:space="preserve"> </w:t>
      </w:r>
      <w:proofErr w:type="spellStart"/>
      <w:r w:rsidRPr="00905A6D">
        <w:t>erecta</w:t>
      </w:r>
      <w:proofErr w:type="spellEnd"/>
      <w:r>
        <w:t xml:space="preserve">, </w:t>
      </w:r>
      <w:proofErr w:type="spellStart"/>
      <w:r w:rsidRPr="00905A6D">
        <w:t>Carex</w:t>
      </w:r>
      <w:proofErr w:type="spellEnd"/>
      <w:r w:rsidRPr="00905A6D">
        <w:t xml:space="preserve"> </w:t>
      </w:r>
      <w:proofErr w:type="spellStart"/>
      <w:r w:rsidRPr="00905A6D">
        <w:t>flacca</w:t>
      </w:r>
      <w:proofErr w:type="spellEnd"/>
      <w:r>
        <w:t xml:space="preserve">, </w:t>
      </w:r>
      <w:proofErr w:type="spellStart"/>
      <w:r w:rsidRPr="00905A6D">
        <w:t>Ctenidium</w:t>
      </w:r>
      <w:proofErr w:type="spellEnd"/>
      <w:r w:rsidRPr="00905A6D">
        <w:t xml:space="preserve"> </w:t>
      </w:r>
      <w:proofErr w:type="spellStart"/>
      <w:r w:rsidRPr="00905A6D">
        <w:t>molluscum</w:t>
      </w:r>
      <w:proofErr w:type="spellEnd"/>
      <w:r>
        <w:t xml:space="preserve">, </w:t>
      </w:r>
      <w:proofErr w:type="spellStart"/>
      <w:r w:rsidR="00284E55" w:rsidRPr="00284E55">
        <w:t>Daucus</w:t>
      </w:r>
      <w:proofErr w:type="spellEnd"/>
      <w:r w:rsidR="00284E55" w:rsidRPr="00284E55">
        <w:t xml:space="preserve"> </w:t>
      </w:r>
      <w:proofErr w:type="spellStart"/>
      <w:r w:rsidR="00284E55" w:rsidRPr="00284E55">
        <w:t>carota</w:t>
      </w:r>
      <w:proofErr w:type="spellEnd"/>
      <w:r w:rsidR="00284E55">
        <w:t xml:space="preserve">, </w:t>
      </w:r>
      <w:proofErr w:type="spellStart"/>
      <w:r w:rsidR="00284E55" w:rsidRPr="00284E55">
        <w:t>Galium</w:t>
      </w:r>
      <w:proofErr w:type="spellEnd"/>
      <w:r w:rsidR="00284E55" w:rsidRPr="00284E55">
        <w:t xml:space="preserve"> </w:t>
      </w:r>
      <w:proofErr w:type="spellStart"/>
      <w:r w:rsidR="00284E55" w:rsidRPr="00284E55">
        <w:t>verum</w:t>
      </w:r>
      <w:proofErr w:type="spellEnd"/>
      <w:r w:rsidR="00284E55">
        <w:t xml:space="preserve">, </w:t>
      </w:r>
      <w:proofErr w:type="spellStart"/>
      <w:r w:rsidR="00284E55" w:rsidRPr="00284E55">
        <w:t>Helictotrichon</w:t>
      </w:r>
      <w:proofErr w:type="spellEnd"/>
      <w:r w:rsidR="00284E55" w:rsidRPr="00284E55">
        <w:t xml:space="preserve"> </w:t>
      </w:r>
      <w:proofErr w:type="spellStart"/>
      <w:r w:rsidR="00284E55" w:rsidRPr="00284E55">
        <w:t>pubescens</w:t>
      </w:r>
      <w:proofErr w:type="spellEnd"/>
      <w:r w:rsidR="00284E55">
        <w:t xml:space="preserve">, </w:t>
      </w:r>
      <w:proofErr w:type="spellStart"/>
      <w:r w:rsidR="00284E55" w:rsidRPr="00284E55">
        <w:t>Homalothecium</w:t>
      </w:r>
      <w:proofErr w:type="spellEnd"/>
      <w:r w:rsidR="00284E55" w:rsidRPr="00284E55">
        <w:t xml:space="preserve"> </w:t>
      </w:r>
      <w:proofErr w:type="spellStart"/>
      <w:r w:rsidR="00284E55" w:rsidRPr="00284E55">
        <w:t>lutescens</w:t>
      </w:r>
      <w:proofErr w:type="spellEnd"/>
      <w:r w:rsidR="00284E55">
        <w:t xml:space="preserve">, </w:t>
      </w:r>
      <w:proofErr w:type="spellStart"/>
      <w:r w:rsidR="00284E55" w:rsidRPr="00284E55">
        <w:t>Leontodon</w:t>
      </w:r>
      <w:proofErr w:type="spellEnd"/>
      <w:r w:rsidR="00284E55" w:rsidRPr="00284E55">
        <w:t xml:space="preserve"> </w:t>
      </w:r>
      <w:proofErr w:type="spellStart"/>
      <w:r w:rsidR="00284E55" w:rsidRPr="00284E55">
        <w:t>hispidus</w:t>
      </w:r>
      <w:proofErr w:type="spellEnd"/>
      <w:r w:rsidR="00284E55" w:rsidRPr="00284E55">
        <w:t xml:space="preserve"> / </w:t>
      </w:r>
      <w:proofErr w:type="spellStart"/>
      <w:r w:rsidR="00284E55" w:rsidRPr="00284E55">
        <w:t>Leontodon</w:t>
      </w:r>
      <w:proofErr w:type="spellEnd"/>
      <w:r w:rsidR="00284E55" w:rsidRPr="00284E55">
        <w:t xml:space="preserve"> </w:t>
      </w:r>
      <w:proofErr w:type="spellStart"/>
      <w:r w:rsidR="00284E55" w:rsidRPr="00284E55">
        <w:t>saxatilis</w:t>
      </w:r>
      <w:proofErr w:type="spellEnd"/>
      <w:r w:rsidR="00284E55">
        <w:t xml:space="preserve">, </w:t>
      </w:r>
      <w:r w:rsidR="00284E55" w:rsidRPr="00284E55">
        <w:t xml:space="preserve">(count </w:t>
      </w:r>
      <w:proofErr w:type="spellStart"/>
      <w:r w:rsidR="00284E55" w:rsidRPr="00284E55">
        <w:t>Leontodon</w:t>
      </w:r>
      <w:proofErr w:type="spellEnd"/>
      <w:r w:rsidR="00284E55" w:rsidRPr="00284E55">
        <w:t xml:space="preserve"> spp. as one)</w:t>
      </w:r>
      <w:r w:rsidR="00284E55">
        <w:t xml:space="preserve">, </w:t>
      </w:r>
      <w:r w:rsidR="00284E55" w:rsidRPr="00284E55">
        <w:t xml:space="preserve">Lotus </w:t>
      </w:r>
      <w:proofErr w:type="spellStart"/>
      <w:r w:rsidR="00284E55" w:rsidRPr="00284E55">
        <w:t>corniculatus</w:t>
      </w:r>
      <w:proofErr w:type="spellEnd"/>
      <w:r w:rsidR="00284E55">
        <w:t xml:space="preserve">, </w:t>
      </w:r>
      <w:proofErr w:type="spellStart"/>
      <w:r w:rsidR="00284E55" w:rsidRPr="00284E55">
        <w:t>Origanum</w:t>
      </w:r>
      <w:proofErr w:type="spellEnd"/>
      <w:r w:rsidR="00284E55" w:rsidRPr="00284E55">
        <w:t xml:space="preserve"> vulgare</w:t>
      </w:r>
      <w:r w:rsidR="00284E55">
        <w:t xml:space="preserve">, </w:t>
      </w:r>
      <w:proofErr w:type="spellStart"/>
      <w:r w:rsidR="00284E55" w:rsidRPr="00284E55">
        <w:t>Pilosella</w:t>
      </w:r>
      <w:proofErr w:type="spellEnd"/>
      <w:r w:rsidR="00284E55" w:rsidRPr="00284E55">
        <w:t xml:space="preserve"> </w:t>
      </w:r>
      <w:proofErr w:type="spellStart"/>
      <w:r w:rsidR="00284E55" w:rsidRPr="00284E55">
        <w:t>officinarum</w:t>
      </w:r>
      <w:proofErr w:type="spellEnd"/>
      <w:r w:rsidR="00284E55">
        <w:t xml:space="preserve">, </w:t>
      </w:r>
      <w:proofErr w:type="spellStart"/>
      <w:r w:rsidR="00284E55" w:rsidRPr="00284E55">
        <w:t>Ranunculus</w:t>
      </w:r>
      <w:proofErr w:type="spellEnd"/>
      <w:r w:rsidR="00284E55" w:rsidRPr="00284E55">
        <w:t xml:space="preserve"> </w:t>
      </w:r>
      <w:proofErr w:type="spellStart"/>
      <w:r w:rsidR="00284E55" w:rsidRPr="00284E55">
        <w:t>bulbosus</w:t>
      </w:r>
      <w:proofErr w:type="spellEnd"/>
      <w:r w:rsidR="00284E55">
        <w:t xml:space="preserve">, </w:t>
      </w:r>
      <w:proofErr w:type="spellStart"/>
      <w:r w:rsidR="00284E55" w:rsidRPr="00284E55">
        <w:t>Sesleria</w:t>
      </w:r>
      <w:proofErr w:type="spellEnd"/>
      <w:r w:rsidR="00284E55" w:rsidRPr="00284E55">
        <w:t xml:space="preserve"> </w:t>
      </w:r>
      <w:proofErr w:type="spellStart"/>
      <w:r w:rsidR="00284E55" w:rsidRPr="00284E55">
        <w:t>caerulea</w:t>
      </w:r>
      <w:proofErr w:type="spellEnd"/>
      <w:r w:rsidR="00284E55">
        <w:t xml:space="preserve">, </w:t>
      </w:r>
      <w:r w:rsidR="00284E55" w:rsidRPr="00284E55">
        <w:t xml:space="preserve">Thymus </w:t>
      </w:r>
      <w:proofErr w:type="spellStart"/>
      <w:r w:rsidR="00284E55" w:rsidRPr="00284E55">
        <w:t>polytrichus</w:t>
      </w:r>
      <w:proofErr w:type="spellEnd"/>
      <w:r w:rsidR="00284E55">
        <w:t xml:space="preserve">, </w:t>
      </w:r>
      <w:proofErr w:type="spellStart"/>
      <w:r w:rsidR="00284E55" w:rsidRPr="00284E55">
        <w:t>Trisetum</w:t>
      </w:r>
      <w:proofErr w:type="spellEnd"/>
      <w:r w:rsidR="00284E55" w:rsidRPr="00284E55">
        <w:t xml:space="preserve"> </w:t>
      </w:r>
      <w:proofErr w:type="spellStart"/>
      <w:r w:rsidR="00284E55" w:rsidRPr="00284E55">
        <w:t>flavescens</w:t>
      </w:r>
      <w:proofErr w:type="spellEnd"/>
      <w:r w:rsidR="00284E55">
        <w:t>.</w:t>
      </w:r>
    </w:p>
    <w:p w:rsidR="00905A6D" w:rsidRPr="00905A6D" w:rsidRDefault="00905A6D" w:rsidP="00905A6D">
      <w:pPr>
        <w:rPr>
          <w:b/>
        </w:rPr>
      </w:pPr>
      <w:r w:rsidRPr="00905A6D">
        <w:rPr>
          <w:b/>
        </w:rPr>
        <w:t xml:space="preserve">High Quality Positive Indicator Species </w:t>
      </w:r>
    </w:p>
    <w:p w:rsidR="00905A6D" w:rsidRDefault="00905A6D" w:rsidP="00905A6D">
      <w:proofErr w:type="spellStart"/>
      <w:r>
        <w:t>Antennaria</w:t>
      </w:r>
      <w:proofErr w:type="spellEnd"/>
      <w:r>
        <w:t xml:space="preserve"> </w:t>
      </w:r>
      <w:proofErr w:type="spellStart"/>
      <w:r>
        <w:t>dioica</w:t>
      </w:r>
      <w:proofErr w:type="spellEnd"/>
      <w:r w:rsidR="00284E55">
        <w:t>,</w:t>
      </w:r>
      <w:r>
        <w:t xml:space="preserve"> </w:t>
      </w:r>
      <w:proofErr w:type="spellStart"/>
      <w:r>
        <w:t>Anthyllis</w:t>
      </w:r>
      <w:proofErr w:type="spellEnd"/>
      <w:r>
        <w:t xml:space="preserve"> </w:t>
      </w:r>
      <w:proofErr w:type="spellStart"/>
      <w:r>
        <w:t>vulneraria</w:t>
      </w:r>
      <w:proofErr w:type="spellEnd"/>
      <w:r w:rsidR="00284E55">
        <w:t>,</w:t>
      </w:r>
      <w:r>
        <w:t xml:space="preserve"> </w:t>
      </w:r>
      <w:proofErr w:type="spellStart"/>
      <w:r>
        <w:t>Asperula</w:t>
      </w:r>
      <w:proofErr w:type="spellEnd"/>
      <w:r>
        <w:t xml:space="preserve"> </w:t>
      </w:r>
      <w:proofErr w:type="spellStart"/>
      <w:r>
        <w:t>cynanchica</w:t>
      </w:r>
      <w:proofErr w:type="spellEnd"/>
      <w:r w:rsidR="00284E55">
        <w:t>,</w:t>
      </w:r>
      <w:r>
        <w:t xml:space="preserve"> </w:t>
      </w:r>
      <w:proofErr w:type="spellStart"/>
      <w:r>
        <w:t>Blackstonia</w:t>
      </w:r>
      <w:proofErr w:type="spellEnd"/>
      <w:r>
        <w:t xml:space="preserve"> </w:t>
      </w:r>
      <w:proofErr w:type="spellStart"/>
      <w:r>
        <w:t>perfoliata</w:t>
      </w:r>
      <w:proofErr w:type="spellEnd"/>
      <w:r w:rsidR="00284E55">
        <w:t>,</w:t>
      </w:r>
      <w:r>
        <w:t xml:space="preserve"> </w:t>
      </w:r>
      <w:proofErr w:type="spellStart"/>
      <w:r>
        <w:t>Briza</w:t>
      </w:r>
      <w:proofErr w:type="spellEnd"/>
      <w:r>
        <w:t xml:space="preserve"> media</w:t>
      </w:r>
      <w:r w:rsidR="00284E55">
        <w:t>,</w:t>
      </w:r>
      <w:r>
        <w:t xml:space="preserve"> Campanula </w:t>
      </w:r>
      <w:proofErr w:type="spellStart"/>
      <w:r>
        <w:t>rotundifolia</w:t>
      </w:r>
      <w:proofErr w:type="spellEnd"/>
      <w:r w:rsidR="00284E55">
        <w:t>,</w:t>
      </w:r>
      <w:r>
        <w:t xml:space="preserve"> </w:t>
      </w:r>
      <w:proofErr w:type="spellStart"/>
      <w:r>
        <w:t>Carex</w:t>
      </w:r>
      <w:proofErr w:type="spellEnd"/>
      <w:r>
        <w:t xml:space="preserve"> </w:t>
      </w:r>
      <w:proofErr w:type="spellStart"/>
      <w:r>
        <w:t>caryophyllea</w:t>
      </w:r>
      <w:proofErr w:type="spellEnd"/>
      <w:r w:rsidR="00284E55">
        <w:t>,</w:t>
      </w:r>
      <w:r>
        <w:t xml:space="preserve"> </w:t>
      </w:r>
      <w:proofErr w:type="spellStart"/>
      <w:r>
        <w:t>Carlina</w:t>
      </w:r>
      <w:proofErr w:type="spellEnd"/>
      <w:r>
        <w:t xml:space="preserve"> vulgaris</w:t>
      </w:r>
      <w:r w:rsidR="00284E55">
        <w:t>,</w:t>
      </w:r>
      <w:r>
        <w:t xml:space="preserve"> </w:t>
      </w:r>
      <w:proofErr w:type="spellStart"/>
      <w:r>
        <w:t>Centaurea</w:t>
      </w:r>
      <w:proofErr w:type="spellEnd"/>
      <w:r>
        <w:t xml:space="preserve"> </w:t>
      </w:r>
      <w:proofErr w:type="spellStart"/>
      <w:r>
        <w:t>scabiosa</w:t>
      </w:r>
      <w:proofErr w:type="spellEnd"/>
      <w:r w:rsidR="00284E55">
        <w:t>,</w:t>
      </w:r>
      <w:r>
        <w:t xml:space="preserve"> </w:t>
      </w:r>
      <w:proofErr w:type="spellStart"/>
      <w:r>
        <w:t>Filipendula</w:t>
      </w:r>
      <w:proofErr w:type="spellEnd"/>
      <w:r>
        <w:t xml:space="preserve"> vulgaris</w:t>
      </w:r>
      <w:r w:rsidR="00284E55">
        <w:t>,</w:t>
      </w:r>
      <w:r>
        <w:t xml:space="preserve"> </w:t>
      </w:r>
      <w:proofErr w:type="spellStart"/>
      <w:r>
        <w:t>Gentiana</w:t>
      </w:r>
      <w:proofErr w:type="spellEnd"/>
      <w:r>
        <w:t xml:space="preserve"> </w:t>
      </w:r>
      <w:proofErr w:type="spellStart"/>
      <w:r>
        <w:t>verna</w:t>
      </w:r>
      <w:proofErr w:type="spellEnd"/>
      <w:r w:rsidR="00284E55">
        <w:t>,</w:t>
      </w:r>
      <w:r>
        <w:t xml:space="preserve"> </w:t>
      </w:r>
      <w:proofErr w:type="spellStart"/>
      <w:r>
        <w:t>Gentianella</w:t>
      </w:r>
      <w:proofErr w:type="spellEnd"/>
      <w:r>
        <w:t xml:space="preserve"> </w:t>
      </w:r>
      <w:proofErr w:type="spellStart"/>
      <w:r>
        <w:t>amarella</w:t>
      </w:r>
      <w:proofErr w:type="spellEnd"/>
      <w:r>
        <w:t>/</w:t>
      </w:r>
      <w:proofErr w:type="spellStart"/>
      <w:r>
        <w:t>campestris</w:t>
      </w:r>
      <w:proofErr w:type="spellEnd"/>
      <w:r w:rsidR="00284E55">
        <w:t>,</w:t>
      </w:r>
      <w:r>
        <w:t xml:space="preserve"> Geranium </w:t>
      </w:r>
      <w:proofErr w:type="spellStart"/>
      <w:r>
        <w:t>sanguineum</w:t>
      </w:r>
      <w:proofErr w:type="spellEnd"/>
      <w:r w:rsidR="00284E55">
        <w:t>,</w:t>
      </w:r>
      <w:r>
        <w:t xml:space="preserve"> </w:t>
      </w:r>
      <w:proofErr w:type="spellStart"/>
      <w:r>
        <w:t>Knautia</w:t>
      </w:r>
      <w:proofErr w:type="spellEnd"/>
      <w:r>
        <w:t xml:space="preserve"> </w:t>
      </w:r>
      <w:proofErr w:type="spellStart"/>
      <w:r>
        <w:t>arvensis</w:t>
      </w:r>
      <w:proofErr w:type="spellEnd"/>
      <w:r w:rsidR="00284E55">
        <w:t>,</w:t>
      </w:r>
      <w:r>
        <w:t xml:space="preserve"> </w:t>
      </w:r>
      <w:proofErr w:type="spellStart"/>
      <w:r>
        <w:t>Koeleria</w:t>
      </w:r>
      <w:proofErr w:type="spellEnd"/>
      <w:r>
        <w:t xml:space="preserve"> </w:t>
      </w:r>
      <w:proofErr w:type="spellStart"/>
      <w:r>
        <w:t>macrantha</w:t>
      </w:r>
      <w:proofErr w:type="spellEnd"/>
      <w:r w:rsidR="00284E55">
        <w:t>,</w:t>
      </w:r>
      <w:r>
        <w:t xml:space="preserve"> </w:t>
      </w:r>
      <w:proofErr w:type="spellStart"/>
      <w:r>
        <w:t>Linum</w:t>
      </w:r>
      <w:proofErr w:type="spellEnd"/>
      <w:r>
        <w:t xml:space="preserve"> </w:t>
      </w:r>
      <w:proofErr w:type="spellStart"/>
      <w:r>
        <w:t>catharticum</w:t>
      </w:r>
      <w:proofErr w:type="spellEnd"/>
      <w:r w:rsidR="00284E55">
        <w:t>,</w:t>
      </w:r>
      <w:r>
        <w:t xml:space="preserve"> Primula </w:t>
      </w:r>
      <w:proofErr w:type="spellStart"/>
      <w:r>
        <w:t>veris</w:t>
      </w:r>
      <w:proofErr w:type="spellEnd"/>
      <w:r w:rsidR="00284E55">
        <w:t>,</w:t>
      </w:r>
      <w:r>
        <w:t xml:space="preserve"> </w:t>
      </w:r>
      <w:proofErr w:type="spellStart"/>
      <w:r>
        <w:t>Sanguisorba</w:t>
      </w:r>
      <w:proofErr w:type="spellEnd"/>
      <w:r>
        <w:t xml:space="preserve"> minor</w:t>
      </w:r>
      <w:r w:rsidR="00284E55">
        <w:t>.</w:t>
      </w:r>
      <w:r>
        <w:t xml:space="preserve"> </w:t>
      </w:r>
    </w:p>
    <w:p w:rsidR="00905A6D" w:rsidRPr="00905A6D" w:rsidRDefault="00905A6D" w:rsidP="00E11D29">
      <w:pPr>
        <w:spacing w:line="240" w:lineRule="auto"/>
        <w:rPr>
          <w:b/>
        </w:rPr>
      </w:pPr>
      <w:r>
        <w:rPr>
          <w:b/>
        </w:rPr>
        <w:t xml:space="preserve">Orchid </w:t>
      </w:r>
      <w:proofErr w:type="gramStart"/>
      <w:r>
        <w:rPr>
          <w:b/>
        </w:rPr>
        <w:t xml:space="preserve">species </w:t>
      </w:r>
      <w:r>
        <w:t xml:space="preserve"> (</w:t>
      </w:r>
      <w:proofErr w:type="gramEnd"/>
      <w:r>
        <w:t>count individual orchid species separately)</w:t>
      </w:r>
    </w:p>
    <w:p w:rsidR="00905A6D" w:rsidRDefault="00905A6D" w:rsidP="00E11D29">
      <w:pPr>
        <w:spacing w:after="0"/>
      </w:pPr>
      <w:r>
        <w:t xml:space="preserve">† If J. </w:t>
      </w:r>
      <w:proofErr w:type="spellStart"/>
      <w:r>
        <w:t>communis</w:t>
      </w:r>
      <w:proofErr w:type="spellEnd"/>
      <w:r>
        <w:t xml:space="preserve">, R. </w:t>
      </w:r>
      <w:proofErr w:type="spellStart"/>
      <w:r>
        <w:t>spinosissima</w:t>
      </w:r>
      <w:proofErr w:type="spellEnd"/>
      <w:r>
        <w:t xml:space="preserve"> or D. </w:t>
      </w:r>
      <w:proofErr w:type="spellStart"/>
      <w:r>
        <w:t>octopetala</w:t>
      </w:r>
      <w:proofErr w:type="spellEnd"/>
      <w:r>
        <w:t xml:space="preserve"> exceed 25% cover, transition to another Annex I</w:t>
      </w:r>
    </w:p>
    <w:p w:rsidR="00905A6D" w:rsidRDefault="00905A6D" w:rsidP="00E11D29">
      <w:pPr>
        <w:spacing w:after="0"/>
      </w:pPr>
      <w:proofErr w:type="gramStart"/>
      <w:r>
        <w:t>community</w:t>
      </w:r>
      <w:proofErr w:type="gramEnd"/>
      <w:r>
        <w:t xml:space="preserve"> should be considered, e.g., 5130 </w:t>
      </w:r>
      <w:proofErr w:type="spellStart"/>
      <w:r>
        <w:t>Juniperus</w:t>
      </w:r>
      <w:proofErr w:type="spellEnd"/>
      <w:r>
        <w:t xml:space="preserve"> </w:t>
      </w:r>
      <w:proofErr w:type="spellStart"/>
      <w:r>
        <w:t>communis</w:t>
      </w:r>
      <w:proofErr w:type="spellEnd"/>
      <w:r>
        <w:t xml:space="preserve"> formations on heaths or</w:t>
      </w:r>
    </w:p>
    <w:p w:rsidR="00905A6D" w:rsidRDefault="00905A6D" w:rsidP="00E11D29">
      <w:pPr>
        <w:spacing w:after="0"/>
      </w:pPr>
      <w:proofErr w:type="gramStart"/>
      <w:r>
        <w:t>calcareous</w:t>
      </w:r>
      <w:proofErr w:type="gramEnd"/>
      <w:r>
        <w:t xml:space="preserve"> grasslands, 4030 European dry heaths, 4060 Alpine and Boreal heaths.</w:t>
      </w:r>
    </w:p>
    <w:p w:rsidR="00905A6D" w:rsidRDefault="00905A6D" w:rsidP="00E11D29">
      <w:pPr>
        <w:spacing w:after="0"/>
      </w:pPr>
      <w:r>
        <w:t>If the 6210 grassland has a population of any orchid species other than the relatively common</w:t>
      </w:r>
    </w:p>
    <w:p w:rsidR="00905A6D" w:rsidRDefault="00905A6D" w:rsidP="00E11D29">
      <w:pPr>
        <w:spacing w:after="0"/>
      </w:pPr>
      <w:proofErr w:type="spellStart"/>
      <w:r>
        <w:t>Dactylorhiza</w:t>
      </w:r>
      <w:proofErr w:type="spellEnd"/>
      <w:r>
        <w:t xml:space="preserve"> </w:t>
      </w:r>
      <w:proofErr w:type="spellStart"/>
      <w:r>
        <w:t>fuchsii</w:t>
      </w:r>
      <w:proofErr w:type="spellEnd"/>
      <w:r>
        <w:t xml:space="preserve"> and </w:t>
      </w:r>
      <w:proofErr w:type="spellStart"/>
      <w:r>
        <w:t>Dactylorhiza</w:t>
      </w:r>
      <w:proofErr w:type="spellEnd"/>
      <w:r>
        <w:t xml:space="preserve"> </w:t>
      </w:r>
      <w:proofErr w:type="spellStart"/>
      <w:r>
        <w:t>maculata</w:t>
      </w:r>
      <w:proofErr w:type="spellEnd"/>
      <w:r>
        <w:t xml:space="preserve"> it should be considered for the orchid-rich priority</w:t>
      </w:r>
    </w:p>
    <w:p w:rsidR="00905A6D" w:rsidRDefault="00905A6D" w:rsidP="00E11D29">
      <w:pPr>
        <w:spacing w:after="0"/>
      </w:pPr>
      <w:proofErr w:type="gramStart"/>
      <w:r>
        <w:t>habitat</w:t>
      </w:r>
      <w:proofErr w:type="gramEnd"/>
      <w:r>
        <w:t xml:space="preserve"> *6210. The following uncommon orchid species have been recorded in this Annex I habitat:</w:t>
      </w:r>
    </w:p>
    <w:p w:rsidR="00905A6D" w:rsidRDefault="00905A6D" w:rsidP="00E11D29">
      <w:pPr>
        <w:spacing w:after="0"/>
      </w:pPr>
      <w:proofErr w:type="spellStart"/>
      <w:r>
        <w:t>Anacamptis</w:t>
      </w:r>
      <w:proofErr w:type="spellEnd"/>
      <w:r>
        <w:t xml:space="preserve"> </w:t>
      </w:r>
      <w:proofErr w:type="spellStart"/>
      <w:r>
        <w:t>pyramidalis</w:t>
      </w:r>
      <w:proofErr w:type="spellEnd"/>
      <w:r>
        <w:t xml:space="preserve">, </w:t>
      </w:r>
      <w:proofErr w:type="spellStart"/>
      <w:r>
        <w:t>Coeloglossum</w:t>
      </w:r>
      <w:proofErr w:type="spellEnd"/>
      <w:r>
        <w:t xml:space="preserve"> </w:t>
      </w:r>
      <w:proofErr w:type="spellStart"/>
      <w:r>
        <w:t>viride</w:t>
      </w:r>
      <w:proofErr w:type="spellEnd"/>
      <w:r>
        <w:t xml:space="preserve">, </w:t>
      </w:r>
      <w:proofErr w:type="spellStart"/>
      <w:r>
        <w:t>Dactylorhiza</w:t>
      </w:r>
      <w:proofErr w:type="spellEnd"/>
      <w:r>
        <w:t xml:space="preserve"> </w:t>
      </w:r>
      <w:proofErr w:type="spellStart"/>
      <w:r>
        <w:t>fuchsii</w:t>
      </w:r>
      <w:proofErr w:type="spellEnd"/>
      <w:r>
        <w:t xml:space="preserve"> v. </w:t>
      </w:r>
      <w:proofErr w:type="spellStart"/>
      <w:r>
        <w:t>okellyi</w:t>
      </w:r>
      <w:proofErr w:type="spellEnd"/>
      <w:r>
        <w:t xml:space="preserve">, </w:t>
      </w:r>
      <w:proofErr w:type="spellStart"/>
      <w:r>
        <w:t>Epipactis</w:t>
      </w:r>
      <w:proofErr w:type="spellEnd"/>
      <w:r>
        <w:t xml:space="preserve"> </w:t>
      </w:r>
      <w:proofErr w:type="spellStart"/>
      <w:r>
        <w:t>palustris</w:t>
      </w:r>
      <w:proofErr w:type="spellEnd"/>
      <w:r>
        <w:t>,</w:t>
      </w:r>
    </w:p>
    <w:p w:rsidR="00905A6D" w:rsidRDefault="00905A6D" w:rsidP="00E11D29">
      <w:pPr>
        <w:spacing w:after="0"/>
      </w:pPr>
      <w:proofErr w:type="spellStart"/>
      <w:r>
        <w:t>Gymnadenia</w:t>
      </w:r>
      <w:proofErr w:type="spellEnd"/>
      <w:r>
        <w:t xml:space="preserve"> </w:t>
      </w:r>
      <w:proofErr w:type="spellStart"/>
      <w:r>
        <w:t>conopsea</w:t>
      </w:r>
      <w:proofErr w:type="spellEnd"/>
      <w:r>
        <w:t xml:space="preserve">, </w:t>
      </w:r>
      <w:proofErr w:type="spellStart"/>
      <w:r>
        <w:t>Listera</w:t>
      </w:r>
      <w:proofErr w:type="spellEnd"/>
      <w:r>
        <w:t xml:space="preserve"> ovata, </w:t>
      </w:r>
      <w:proofErr w:type="spellStart"/>
      <w:r>
        <w:t>Neotinea</w:t>
      </w:r>
      <w:proofErr w:type="spellEnd"/>
      <w:r>
        <w:t xml:space="preserve"> </w:t>
      </w:r>
      <w:proofErr w:type="spellStart"/>
      <w:r>
        <w:t>maculata</w:t>
      </w:r>
      <w:proofErr w:type="spellEnd"/>
      <w:r>
        <w:t xml:space="preserve">, </w:t>
      </w:r>
      <w:proofErr w:type="spellStart"/>
      <w:r>
        <w:t>Ophrys</w:t>
      </w:r>
      <w:proofErr w:type="spellEnd"/>
      <w:r>
        <w:t xml:space="preserve"> </w:t>
      </w:r>
      <w:proofErr w:type="spellStart"/>
      <w:r>
        <w:t>apifera</w:t>
      </w:r>
      <w:proofErr w:type="spellEnd"/>
      <w:r>
        <w:t xml:space="preserve">, </w:t>
      </w:r>
      <w:proofErr w:type="spellStart"/>
      <w:r>
        <w:t>Ophrys</w:t>
      </w:r>
      <w:proofErr w:type="spellEnd"/>
      <w:r>
        <w:t xml:space="preserve"> </w:t>
      </w:r>
      <w:proofErr w:type="spellStart"/>
      <w:r>
        <w:t>insectifera</w:t>
      </w:r>
      <w:proofErr w:type="spellEnd"/>
      <w:r>
        <w:t xml:space="preserve">, </w:t>
      </w:r>
      <w:proofErr w:type="spellStart"/>
      <w:r>
        <w:t>Orchis</w:t>
      </w:r>
      <w:proofErr w:type="spellEnd"/>
    </w:p>
    <w:p w:rsidR="00905A6D" w:rsidRDefault="00905A6D" w:rsidP="00E11D29">
      <w:pPr>
        <w:spacing w:after="0"/>
      </w:pPr>
      <w:proofErr w:type="spellStart"/>
      <w:proofErr w:type="gramStart"/>
      <w:r>
        <w:t>mascula</w:t>
      </w:r>
      <w:proofErr w:type="spellEnd"/>
      <w:proofErr w:type="gramEnd"/>
      <w:r>
        <w:t xml:space="preserve">, </w:t>
      </w:r>
      <w:proofErr w:type="spellStart"/>
      <w:r>
        <w:t>Orchis</w:t>
      </w:r>
      <w:proofErr w:type="spellEnd"/>
      <w:r>
        <w:t xml:space="preserve"> </w:t>
      </w:r>
      <w:proofErr w:type="spellStart"/>
      <w:r>
        <w:t>morio</w:t>
      </w:r>
      <w:proofErr w:type="spellEnd"/>
      <w:r>
        <w:t xml:space="preserve">, </w:t>
      </w:r>
      <w:proofErr w:type="spellStart"/>
      <w:r>
        <w:t>Platanthera</w:t>
      </w:r>
      <w:proofErr w:type="spellEnd"/>
      <w:r>
        <w:t xml:space="preserve"> </w:t>
      </w:r>
      <w:proofErr w:type="spellStart"/>
      <w:r>
        <w:t>bifolia</w:t>
      </w:r>
      <w:proofErr w:type="spellEnd"/>
      <w:r>
        <w:t xml:space="preserve">, </w:t>
      </w:r>
      <w:proofErr w:type="spellStart"/>
      <w:r>
        <w:t>Platanthera</w:t>
      </w:r>
      <w:proofErr w:type="spellEnd"/>
      <w:r>
        <w:t xml:space="preserve"> </w:t>
      </w:r>
      <w:proofErr w:type="spellStart"/>
      <w:r>
        <w:t>chlorantha</w:t>
      </w:r>
      <w:proofErr w:type="spellEnd"/>
      <w:r>
        <w:t xml:space="preserve">. </w:t>
      </w:r>
    </w:p>
    <w:p w:rsidR="00A7490F" w:rsidRDefault="00A7490F" w:rsidP="00A7490F"/>
    <w:p w:rsidR="00A7490F" w:rsidRDefault="00A7490F" w:rsidP="00A7490F">
      <w:pPr>
        <w:rPr>
          <w:b/>
        </w:rPr>
      </w:pPr>
      <w:r w:rsidRPr="00A7490F">
        <w:rPr>
          <w:b/>
        </w:rPr>
        <w:t>6210* grasslands on the Aran Islands</w:t>
      </w:r>
    </w:p>
    <w:p w:rsidR="000B2249" w:rsidRDefault="000B2249" w:rsidP="00A7490F">
      <w:r w:rsidRPr="000B2249">
        <w:t xml:space="preserve">Calcareous grassland habitat comprises species-rich plant communities found on shallow well-drained calcareous substrates often in association with limestone pavement and out cropping limestone rock. The habitat comprises a mixture of grasses and herbs, with </w:t>
      </w:r>
      <w:proofErr w:type="spellStart"/>
      <w:r w:rsidRPr="000B2249">
        <w:t>calcicole</w:t>
      </w:r>
      <w:proofErr w:type="spellEnd"/>
      <w:r w:rsidRPr="000B2249">
        <w:t xml:space="preserve"> species typically frequent. It is maintained by low intensity grazing but the management of calcareous grassland can vary from area to area and farm to farm. </w:t>
      </w:r>
      <w:r>
        <w:t xml:space="preserve"> Three main areas of calcareous grassland within Ireland have traditionally been managed differently. The Aran Islands, with its collection of small fields is grazed during the winter (winterage) on a rotational basis, with cattle moved from field to field once </w:t>
      </w:r>
      <w:r>
        <w:lastRenderedPageBreak/>
        <w:t xml:space="preserve">the vegetation is eaten. The Burren also operates the winterage system </w:t>
      </w:r>
      <w:r w:rsidR="00640DBB">
        <w:t>but the wide open fields are</w:t>
      </w:r>
      <w:r>
        <w:t xml:space="preserve"> managed </w:t>
      </w:r>
      <w:r w:rsidR="00640DBB">
        <w:t xml:space="preserve">using </w:t>
      </w:r>
      <w:r>
        <w:t>set stocking. Whilst the limestone grasslands in the no</w:t>
      </w:r>
      <w:r w:rsidR="00A42A53">
        <w:t>rth of the country on the Cavan/</w:t>
      </w:r>
      <w:r>
        <w:t xml:space="preserve">Fermanagh border are traditional summer grazed or grazed all year round on a set stocking basis. </w:t>
      </w:r>
      <w:r w:rsidR="00A42A53">
        <w:t xml:space="preserve"> This different management will result in variations in target assessments and may require</w:t>
      </w:r>
      <w:r w:rsidR="006A3537">
        <w:t xml:space="preserve"> specific targets which reflect</w:t>
      </w:r>
      <w:r w:rsidR="00A42A53">
        <w:t xml:space="preserve"> the management or cultural history</w:t>
      </w:r>
      <w:r w:rsidR="006A3537">
        <w:t xml:space="preserve"> of the sites as the continuation of the management system is usually favourable.  </w:t>
      </w:r>
    </w:p>
    <w:p w:rsidR="006A3537" w:rsidRDefault="006A3537" w:rsidP="00A7490F">
      <w:r>
        <w:t>Based on survey work completed during the AranLIFE project (2014-2018), the existing t</w:t>
      </w:r>
      <w:r w:rsidRPr="006A3537">
        <w:t xml:space="preserve">hresholds </w:t>
      </w:r>
      <w:r>
        <w:t xml:space="preserve">used in the </w:t>
      </w:r>
      <w:r w:rsidRPr="006A3537">
        <w:t>assessment of structures and functions</w:t>
      </w:r>
      <w:r>
        <w:t xml:space="preserve"> for </w:t>
      </w:r>
      <w:r w:rsidRPr="006A3537">
        <w:t>6210</w:t>
      </w:r>
      <w:r>
        <w:t>*</w:t>
      </w:r>
      <w:r w:rsidRPr="006A3537">
        <w:t xml:space="preserve"> Semi-natural dry grasslands &amp; scrub facies on calcareous substrates (</w:t>
      </w:r>
      <w:proofErr w:type="spellStart"/>
      <w:r w:rsidRPr="006A3537">
        <w:t>FestucoBrometalia</w:t>
      </w:r>
      <w:proofErr w:type="spellEnd"/>
      <w:r w:rsidRPr="006A3537">
        <w:t xml:space="preserve">) are </w:t>
      </w:r>
      <w:r>
        <w:t xml:space="preserve">generable suitable but changes should be considered for point 1 (positive </w:t>
      </w:r>
      <w:r w:rsidR="00443AF6">
        <w:t xml:space="preserve">indicator </w:t>
      </w:r>
      <w:r>
        <w:t xml:space="preserve">species), 2 (negative </w:t>
      </w:r>
      <w:r w:rsidR="00443AF6">
        <w:t xml:space="preserve">indicator </w:t>
      </w:r>
      <w:r>
        <w:t>species) and point 6 (</w:t>
      </w:r>
      <w:r w:rsidRPr="006A3537">
        <w:t>Cover of scrub, bracke</w:t>
      </w:r>
      <w:r>
        <w:t>n).</w:t>
      </w:r>
    </w:p>
    <w:p w:rsidR="006A3537" w:rsidRDefault="006A3537" w:rsidP="00A7490F">
      <w:pPr>
        <w:rPr>
          <w:b/>
        </w:rPr>
      </w:pPr>
      <w:r w:rsidRPr="006A3537">
        <w:rPr>
          <w:b/>
        </w:rPr>
        <w:t xml:space="preserve">Positive </w:t>
      </w:r>
      <w:r w:rsidR="00443AF6">
        <w:rPr>
          <w:b/>
        </w:rPr>
        <w:t xml:space="preserve">Indicators </w:t>
      </w:r>
      <w:r w:rsidRPr="006A3537">
        <w:rPr>
          <w:b/>
        </w:rPr>
        <w:t>species</w:t>
      </w:r>
    </w:p>
    <w:p w:rsidR="006A3537" w:rsidRDefault="006A3537" w:rsidP="006A3537">
      <w:pPr>
        <w:jc w:val="both"/>
      </w:pPr>
      <w:r>
        <w:t>Following analysis the vegetation analysis of well managed are</w:t>
      </w:r>
      <w:r w:rsidR="00443AF6">
        <w:t>as of calcareous grassland</w:t>
      </w:r>
      <w:r>
        <w:t xml:space="preserve">, an additional set of positive indicator species were regularly found in high quality fields and absent from fields that were more semi-natural in character (Table 1). </w:t>
      </w:r>
      <w:r w:rsidR="00443AF6">
        <w:t xml:space="preserve"> These species should be included in the list of Positive Indicator species.</w:t>
      </w:r>
    </w:p>
    <w:tbl>
      <w:tblPr>
        <w:tblW w:w="5024"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512"/>
      </w:tblGrid>
      <w:tr w:rsidR="006A3537" w:rsidRPr="00485096" w:rsidTr="006A0BC7">
        <w:trPr>
          <w:trHeight w:val="300"/>
        </w:trPr>
        <w:tc>
          <w:tcPr>
            <w:tcW w:w="2512" w:type="dxa"/>
            <w:shd w:val="clear" w:color="auto" w:fill="auto"/>
            <w:noWrap/>
            <w:vAlign w:val="bottom"/>
            <w:hideMark/>
          </w:tcPr>
          <w:p w:rsidR="006A3537" w:rsidRPr="00B4205E" w:rsidRDefault="006A3537" w:rsidP="006A0BC7">
            <w:pPr>
              <w:spacing w:after="0" w:line="240" w:lineRule="auto"/>
              <w:jc w:val="both"/>
              <w:rPr>
                <w:rFonts w:ascii="Calibri" w:eastAsia="Times New Roman" w:hAnsi="Calibri" w:cs="Times New Roman"/>
                <w:i/>
                <w:color w:val="000000"/>
                <w:lang w:eastAsia="en-GB"/>
              </w:rPr>
            </w:pPr>
            <w:proofErr w:type="spellStart"/>
            <w:r w:rsidRPr="00B4205E">
              <w:rPr>
                <w:rFonts w:ascii="Calibri" w:eastAsia="Times New Roman" w:hAnsi="Calibri" w:cs="Times New Roman"/>
                <w:i/>
                <w:color w:val="000000"/>
                <w:lang w:eastAsia="en-GB"/>
              </w:rPr>
              <w:t>Agrimonia_eupatoria</w:t>
            </w:r>
            <w:proofErr w:type="spellEnd"/>
          </w:p>
        </w:tc>
        <w:tc>
          <w:tcPr>
            <w:tcW w:w="2512" w:type="dxa"/>
          </w:tcPr>
          <w:p w:rsidR="006A3537" w:rsidRPr="00041E0E" w:rsidRDefault="006A3537" w:rsidP="006A0BC7">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Hemp agrimony</w:t>
            </w:r>
          </w:p>
        </w:tc>
      </w:tr>
      <w:tr w:rsidR="006A3537" w:rsidRPr="00485096" w:rsidTr="006A0BC7">
        <w:trPr>
          <w:trHeight w:val="300"/>
        </w:trPr>
        <w:tc>
          <w:tcPr>
            <w:tcW w:w="2512" w:type="dxa"/>
            <w:shd w:val="clear" w:color="auto" w:fill="auto"/>
            <w:noWrap/>
            <w:vAlign w:val="bottom"/>
            <w:hideMark/>
          </w:tcPr>
          <w:p w:rsidR="006A3537" w:rsidRPr="00B4205E" w:rsidRDefault="006A3537" w:rsidP="006A0BC7">
            <w:pPr>
              <w:spacing w:after="0" w:line="240" w:lineRule="auto"/>
              <w:jc w:val="both"/>
              <w:rPr>
                <w:rFonts w:ascii="Calibri" w:eastAsia="Times New Roman" w:hAnsi="Calibri" w:cs="Times New Roman"/>
                <w:i/>
                <w:color w:val="000000"/>
                <w:lang w:eastAsia="en-GB"/>
              </w:rPr>
            </w:pPr>
            <w:proofErr w:type="spellStart"/>
            <w:r w:rsidRPr="00B4205E">
              <w:rPr>
                <w:rFonts w:ascii="Calibri" w:eastAsia="Times New Roman" w:hAnsi="Calibri" w:cs="Times New Roman"/>
                <w:i/>
                <w:color w:val="000000"/>
                <w:lang w:eastAsia="en-GB"/>
              </w:rPr>
              <w:t>Euphrasia_officinalis_agg</w:t>
            </w:r>
            <w:proofErr w:type="spellEnd"/>
          </w:p>
        </w:tc>
        <w:tc>
          <w:tcPr>
            <w:tcW w:w="2512" w:type="dxa"/>
          </w:tcPr>
          <w:p w:rsidR="006A3537" w:rsidRPr="00A93167" w:rsidRDefault="006A3537" w:rsidP="006A0BC7">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Eyebright</w:t>
            </w:r>
          </w:p>
        </w:tc>
      </w:tr>
      <w:tr w:rsidR="006A3537" w:rsidRPr="00485096" w:rsidTr="006A0BC7">
        <w:trPr>
          <w:trHeight w:val="300"/>
        </w:trPr>
        <w:tc>
          <w:tcPr>
            <w:tcW w:w="2512" w:type="dxa"/>
            <w:shd w:val="clear" w:color="auto" w:fill="auto"/>
            <w:noWrap/>
            <w:vAlign w:val="bottom"/>
            <w:hideMark/>
          </w:tcPr>
          <w:p w:rsidR="006A3537" w:rsidRPr="00B4205E" w:rsidRDefault="006A3537" w:rsidP="006A0BC7">
            <w:pPr>
              <w:spacing w:after="0" w:line="240" w:lineRule="auto"/>
              <w:jc w:val="both"/>
              <w:rPr>
                <w:rFonts w:ascii="Calibri" w:eastAsia="Times New Roman" w:hAnsi="Calibri" w:cs="Times New Roman"/>
                <w:i/>
                <w:color w:val="000000"/>
                <w:lang w:eastAsia="en-GB"/>
              </w:rPr>
            </w:pPr>
            <w:proofErr w:type="spellStart"/>
            <w:r w:rsidRPr="00B4205E">
              <w:rPr>
                <w:rFonts w:ascii="Calibri" w:eastAsia="Times New Roman" w:hAnsi="Calibri" w:cs="Times New Roman"/>
                <w:i/>
                <w:color w:val="000000"/>
                <w:lang w:eastAsia="en-GB"/>
              </w:rPr>
              <w:t>Plantago_maritima</w:t>
            </w:r>
            <w:proofErr w:type="spellEnd"/>
          </w:p>
        </w:tc>
        <w:tc>
          <w:tcPr>
            <w:tcW w:w="2512" w:type="dxa"/>
          </w:tcPr>
          <w:p w:rsidR="006A3537" w:rsidRPr="00A93167" w:rsidRDefault="006A3537" w:rsidP="006A0BC7">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Sea plantain</w:t>
            </w:r>
          </w:p>
        </w:tc>
      </w:tr>
      <w:tr w:rsidR="006A3537" w:rsidRPr="00485096" w:rsidTr="006A0BC7">
        <w:trPr>
          <w:trHeight w:val="300"/>
        </w:trPr>
        <w:tc>
          <w:tcPr>
            <w:tcW w:w="2512" w:type="dxa"/>
            <w:shd w:val="clear" w:color="auto" w:fill="auto"/>
            <w:noWrap/>
            <w:vAlign w:val="bottom"/>
            <w:hideMark/>
          </w:tcPr>
          <w:p w:rsidR="006A3537" w:rsidRPr="00B4205E" w:rsidRDefault="006A3537" w:rsidP="006A0BC7">
            <w:pPr>
              <w:spacing w:after="0" w:line="240" w:lineRule="auto"/>
              <w:jc w:val="both"/>
              <w:rPr>
                <w:rFonts w:ascii="Calibri" w:eastAsia="Times New Roman" w:hAnsi="Calibri" w:cs="Times New Roman"/>
                <w:i/>
                <w:color w:val="000000"/>
                <w:lang w:eastAsia="en-GB"/>
              </w:rPr>
            </w:pPr>
            <w:proofErr w:type="spellStart"/>
            <w:r w:rsidRPr="00B4205E">
              <w:rPr>
                <w:rFonts w:ascii="Calibri" w:eastAsia="Times New Roman" w:hAnsi="Calibri" w:cs="Times New Roman"/>
                <w:i/>
                <w:color w:val="000000"/>
                <w:lang w:eastAsia="en-GB"/>
              </w:rPr>
              <w:t>Polygala_vulgaris</w:t>
            </w:r>
            <w:proofErr w:type="spellEnd"/>
            <w:r w:rsidRPr="00B4205E">
              <w:rPr>
                <w:rFonts w:ascii="Calibri" w:eastAsia="Times New Roman" w:hAnsi="Calibri" w:cs="Times New Roman"/>
                <w:i/>
                <w:color w:val="000000"/>
                <w:lang w:eastAsia="en-GB"/>
              </w:rPr>
              <w:t xml:space="preserve"> </w:t>
            </w:r>
          </w:p>
        </w:tc>
        <w:tc>
          <w:tcPr>
            <w:tcW w:w="2512" w:type="dxa"/>
          </w:tcPr>
          <w:p w:rsidR="006A3537" w:rsidRPr="00A93167" w:rsidRDefault="006A3537" w:rsidP="006A0BC7">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Common milkwort</w:t>
            </w:r>
          </w:p>
        </w:tc>
      </w:tr>
      <w:tr w:rsidR="006A3537" w:rsidRPr="00485096" w:rsidTr="006A0BC7">
        <w:trPr>
          <w:trHeight w:val="300"/>
        </w:trPr>
        <w:tc>
          <w:tcPr>
            <w:tcW w:w="2512" w:type="dxa"/>
            <w:shd w:val="clear" w:color="auto" w:fill="auto"/>
            <w:noWrap/>
            <w:vAlign w:val="bottom"/>
            <w:hideMark/>
          </w:tcPr>
          <w:p w:rsidR="006A3537" w:rsidRPr="00B4205E" w:rsidRDefault="006A3537" w:rsidP="006A0BC7">
            <w:pPr>
              <w:spacing w:after="0" w:line="240" w:lineRule="auto"/>
              <w:jc w:val="both"/>
              <w:rPr>
                <w:rFonts w:ascii="Calibri" w:eastAsia="Times New Roman" w:hAnsi="Calibri" w:cs="Times New Roman"/>
                <w:i/>
                <w:color w:val="000000"/>
                <w:lang w:eastAsia="en-GB"/>
              </w:rPr>
            </w:pPr>
            <w:proofErr w:type="spellStart"/>
            <w:r w:rsidRPr="00B4205E">
              <w:rPr>
                <w:rFonts w:ascii="Calibri" w:eastAsia="Times New Roman" w:hAnsi="Calibri" w:cs="Times New Roman"/>
                <w:i/>
                <w:color w:val="000000"/>
                <w:lang w:eastAsia="en-GB"/>
              </w:rPr>
              <w:t>Rhinanthus_minor</w:t>
            </w:r>
            <w:proofErr w:type="spellEnd"/>
          </w:p>
        </w:tc>
        <w:tc>
          <w:tcPr>
            <w:tcW w:w="2512" w:type="dxa"/>
          </w:tcPr>
          <w:p w:rsidR="006A3537" w:rsidRPr="00A93167" w:rsidRDefault="006A3537" w:rsidP="006A0BC7">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Yellow rattle</w:t>
            </w:r>
          </w:p>
        </w:tc>
      </w:tr>
      <w:tr w:rsidR="006A3537" w:rsidRPr="00485096" w:rsidTr="006A0BC7">
        <w:trPr>
          <w:trHeight w:val="300"/>
        </w:trPr>
        <w:tc>
          <w:tcPr>
            <w:tcW w:w="2512" w:type="dxa"/>
            <w:shd w:val="clear" w:color="auto" w:fill="auto"/>
            <w:noWrap/>
            <w:vAlign w:val="bottom"/>
            <w:hideMark/>
          </w:tcPr>
          <w:p w:rsidR="006A3537" w:rsidRPr="00B4205E" w:rsidRDefault="006A3537" w:rsidP="006A0BC7">
            <w:pPr>
              <w:spacing w:after="0" w:line="240" w:lineRule="auto"/>
              <w:jc w:val="both"/>
              <w:rPr>
                <w:rFonts w:ascii="Calibri" w:eastAsia="Times New Roman" w:hAnsi="Calibri" w:cs="Times New Roman"/>
                <w:i/>
                <w:color w:val="000000"/>
                <w:lang w:eastAsia="en-GB"/>
              </w:rPr>
            </w:pPr>
            <w:proofErr w:type="spellStart"/>
            <w:r w:rsidRPr="00B4205E">
              <w:rPr>
                <w:rFonts w:ascii="Calibri" w:eastAsia="Times New Roman" w:hAnsi="Calibri" w:cs="Times New Roman"/>
                <w:i/>
                <w:color w:val="000000"/>
                <w:lang w:eastAsia="en-GB"/>
              </w:rPr>
              <w:t>Succisa_pratensis</w:t>
            </w:r>
            <w:proofErr w:type="spellEnd"/>
          </w:p>
        </w:tc>
        <w:tc>
          <w:tcPr>
            <w:tcW w:w="2512" w:type="dxa"/>
          </w:tcPr>
          <w:p w:rsidR="006A3537" w:rsidRPr="00A93167" w:rsidRDefault="006A3537" w:rsidP="006A0BC7">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Devil’s bit scabious</w:t>
            </w:r>
          </w:p>
        </w:tc>
      </w:tr>
      <w:tr w:rsidR="006A3537" w:rsidRPr="00485096" w:rsidTr="006A0BC7">
        <w:trPr>
          <w:trHeight w:val="300"/>
        </w:trPr>
        <w:tc>
          <w:tcPr>
            <w:tcW w:w="2512" w:type="dxa"/>
            <w:shd w:val="clear" w:color="auto" w:fill="auto"/>
            <w:noWrap/>
            <w:vAlign w:val="bottom"/>
            <w:hideMark/>
          </w:tcPr>
          <w:p w:rsidR="006A3537" w:rsidRPr="00B4205E" w:rsidRDefault="006A3537" w:rsidP="006A0BC7">
            <w:pPr>
              <w:spacing w:after="0" w:line="240" w:lineRule="auto"/>
              <w:jc w:val="both"/>
              <w:rPr>
                <w:rFonts w:ascii="Calibri" w:eastAsia="Times New Roman" w:hAnsi="Calibri" w:cs="Times New Roman"/>
                <w:i/>
                <w:color w:val="000000"/>
                <w:lang w:eastAsia="en-GB"/>
              </w:rPr>
            </w:pPr>
            <w:proofErr w:type="spellStart"/>
            <w:r w:rsidRPr="00B4205E">
              <w:rPr>
                <w:rFonts w:ascii="Calibri" w:eastAsia="Times New Roman" w:hAnsi="Calibri" w:cs="Times New Roman"/>
                <w:i/>
                <w:color w:val="000000"/>
                <w:lang w:eastAsia="en-GB"/>
              </w:rPr>
              <w:t>Calluna_vulgaris</w:t>
            </w:r>
            <w:proofErr w:type="spellEnd"/>
          </w:p>
        </w:tc>
        <w:tc>
          <w:tcPr>
            <w:tcW w:w="2512" w:type="dxa"/>
          </w:tcPr>
          <w:p w:rsidR="006A3537" w:rsidRPr="00A93167" w:rsidRDefault="006A3537" w:rsidP="006A0BC7">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Ling heather</w:t>
            </w:r>
          </w:p>
        </w:tc>
      </w:tr>
    </w:tbl>
    <w:p w:rsidR="006A3537" w:rsidRDefault="006A3537" w:rsidP="006A3537"/>
    <w:p w:rsidR="00A42A53" w:rsidRDefault="006A3537" w:rsidP="00A7490F">
      <w:proofErr w:type="gramStart"/>
      <w:r>
        <w:t>Table 1.</w:t>
      </w:r>
      <w:proofErr w:type="gramEnd"/>
      <w:r>
        <w:t xml:space="preserve"> </w:t>
      </w:r>
      <w:proofErr w:type="gramStart"/>
      <w:r>
        <w:t>List of additional positive indicator species that are consistently found in grasslands of high conservation value in the context of the Aran Islands.</w:t>
      </w:r>
      <w:proofErr w:type="gramEnd"/>
    </w:p>
    <w:p w:rsidR="00443AF6" w:rsidRPr="00443AF6" w:rsidRDefault="00443AF6" w:rsidP="00A7490F">
      <w:pPr>
        <w:rPr>
          <w:b/>
        </w:rPr>
      </w:pPr>
      <w:r w:rsidRPr="00443AF6">
        <w:rPr>
          <w:b/>
        </w:rPr>
        <w:t>Negative indicator species</w:t>
      </w:r>
    </w:p>
    <w:p w:rsidR="00B15D33" w:rsidRPr="006D0935" w:rsidRDefault="00443AF6" w:rsidP="00A7490F">
      <w:r>
        <w:t xml:space="preserve">Some plant species will be present due to the management system and changing in the management system may have a negative effect of other species.  </w:t>
      </w:r>
      <w:r w:rsidR="00A42A53" w:rsidRPr="00A42A53">
        <w:t xml:space="preserve">Cocks foot grass </w:t>
      </w:r>
      <w:proofErr w:type="spellStart"/>
      <w:r w:rsidR="00A42A53" w:rsidRPr="00443AF6">
        <w:rPr>
          <w:i/>
        </w:rPr>
        <w:t>Dactylis</w:t>
      </w:r>
      <w:proofErr w:type="spellEnd"/>
      <w:r w:rsidR="00A42A53" w:rsidRPr="00443AF6">
        <w:rPr>
          <w:i/>
        </w:rPr>
        <w:t xml:space="preserve"> </w:t>
      </w:r>
      <w:proofErr w:type="spellStart"/>
      <w:r w:rsidR="00A42A53" w:rsidRPr="00443AF6">
        <w:rPr>
          <w:i/>
        </w:rPr>
        <w:t>glomerata</w:t>
      </w:r>
      <w:proofErr w:type="spellEnd"/>
      <w:r w:rsidR="00A42A53" w:rsidRPr="00A42A53">
        <w:t xml:space="preserve"> is </w:t>
      </w:r>
      <w:r>
        <w:t xml:space="preserve">listed as a negative species but on the islands it was found </w:t>
      </w:r>
      <w:r w:rsidR="00A42A53" w:rsidRPr="00A42A53">
        <w:t xml:space="preserve">present in both </w:t>
      </w:r>
      <w:r>
        <w:t xml:space="preserve">high and poor quality </w:t>
      </w:r>
      <w:r w:rsidR="00A42A53" w:rsidRPr="00A42A53">
        <w:t xml:space="preserve">plots </w:t>
      </w:r>
      <w:r>
        <w:t xml:space="preserve">but </w:t>
      </w:r>
      <w:r w:rsidR="00A42A53" w:rsidRPr="00A42A53">
        <w:t>with increasing freque</w:t>
      </w:r>
      <w:r>
        <w:t>ncy on ecologically poorer plots</w:t>
      </w:r>
      <w:r w:rsidR="00A42A53" w:rsidRPr="00A42A53">
        <w:t xml:space="preserve">. </w:t>
      </w:r>
      <w:r>
        <w:t xml:space="preserve"> </w:t>
      </w:r>
      <w:proofErr w:type="spellStart"/>
      <w:r w:rsidRPr="00443AF6">
        <w:t>Dactylis</w:t>
      </w:r>
      <w:proofErr w:type="spellEnd"/>
      <w:r w:rsidRPr="00443AF6">
        <w:t xml:space="preserve"> </w:t>
      </w:r>
      <w:proofErr w:type="spellStart"/>
      <w:r w:rsidRPr="00443AF6">
        <w:t>glomerata</w:t>
      </w:r>
      <w:proofErr w:type="spellEnd"/>
      <w:r w:rsidR="00A42A53" w:rsidRPr="00A42A53">
        <w:t xml:space="preserve"> is an important component of Winterage fodder as it exhibits autumnal growth (Beddows 1959). By being listed as a negative indicator species in the national assessment criteria, it gives the impression that this is an unwanted species in calcareous grassl</w:t>
      </w:r>
      <w:r>
        <w:t xml:space="preserve">ands, as it is an indicator of the management, which is necessary to maintain the overall species composition. </w:t>
      </w:r>
    </w:p>
    <w:p w:rsidR="005A0493" w:rsidRDefault="005A0493" w:rsidP="00A7490F">
      <w:pPr>
        <w:rPr>
          <w:b/>
        </w:rPr>
      </w:pPr>
      <w:r w:rsidRPr="005A0493">
        <w:rPr>
          <w:b/>
        </w:rPr>
        <w:t>Cover of scrub, bracken.</w:t>
      </w:r>
    </w:p>
    <w:p w:rsidR="005A0493" w:rsidRDefault="005A0493" w:rsidP="00A7490F">
      <w:r w:rsidRPr="005A0493">
        <w:t>Under national assessment criteria, the thresholds for cover of woody species are ≤ 5% at the relevé assessment.</w:t>
      </w:r>
      <w:r>
        <w:t xml:space="preserve"> The management practices and the farm structure all favour the growth of scrub. Crofts and </w:t>
      </w:r>
      <w:r w:rsidRPr="005A0493">
        <w:t xml:space="preserve"> Jefferson </w:t>
      </w:r>
      <w:r>
        <w:t>(1999) found that e</w:t>
      </w:r>
      <w:r w:rsidRPr="005A0493">
        <w:t xml:space="preserve">ven in grasslands of low fertility, winter-only grazing will usually still allow scrub to encroach </w:t>
      </w:r>
      <w:r>
        <w:t xml:space="preserve">and this is reflected on the islands where additional scrub control is required. In addition the large number of stone walls and small fields favour the germination of </w:t>
      </w:r>
      <w:r>
        <w:lastRenderedPageBreak/>
        <w:t xml:space="preserve">scrub seedlings, giving shelter from the wind and the absence of summer grazing allows them to go to the woody stage. As a result a lot of scrub is found along the walls. </w:t>
      </w:r>
    </w:p>
    <w:p w:rsidR="00F4145B" w:rsidRPr="0093072E" w:rsidRDefault="00F4145B" w:rsidP="0093072E">
      <w:r>
        <w:t>Scrub invasion is considered to be an acute threat because it can result in an increase in soil nutrients and a decline of richness in grassland species but the Annex I habitat 6210 includes scrub margins within its definition (</w:t>
      </w:r>
      <w:proofErr w:type="spellStart"/>
      <w:r w:rsidRPr="00F4145B">
        <w:t>Calaciura</w:t>
      </w:r>
      <w:proofErr w:type="spellEnd"/>
      <w:r w:rsidRPr="00F4145B">
        <w:t xml:space="preserve"> </w:t>
      </w:r>
      <w:r>
        <w:t>and Spinelli,</w:t>
      </w:r>
      <w:r w:rsidRPr="00F4145B">
        <w:t xml:space="preserve"> 2008</w:t>
      </w:r>
      <w:r>
        <w:t xml:space="preserve">).  </w:t>
      </w:r>
      <w:r w:rsidR="0093072E">
        <w:t>A survey of people with a hig</w:t>
      </w:r>
      <w:r w:rsidR="006D0935">
        <w:t>h level of ecological expertise</w:t>
      </w:r>
      <w:r w:rsidR="0093072E">
        <w:t xml:space="preserve"> who attended an AranLIFE workshop (Annex 7.3.6) </w:t>
      </w:r>
      <w:r w:rsidR="00E25658">
        <w:t>identified s</w:t>
      </w:r>
      <w:r w:rsidR="0093072E" w:rsidRPr="0093072E">
        <w:t>crub encroachment of speci</w:t>
      </w:r>
      <w:r w:rsidR="00E25658">
        <w:t xml:space="preserve">es-rich calcareous grassland as </w:t>
      </w:r>
      <w:r w:rsidR="0093072E" w:rsidRPr="0093072E">
        <w:t>a major threat on the island. However an element of scrub was still deemed to be a positive feature for wildlife. General consensus was that up to 10% of the area scrubbed up was an acceptable, but greater than that the loss of species rich grasslands was problematic.</w:t>
      </w:r>
      <w:r w:rsidR="00B0325B" w:rsidRPr="00B0325B">
        <w:t xml:space="preserve"> A survey of invertebrate populations on the island on different habitats by Hynes (2017) showed groups of invertebrates showed a marked preference for different habitat types</w:t>
      </w:r>
      <w:r w:rsidR="006D0935">
        <w:t>, some favouring scrub parcels</w:t>
      </w:r>
      <w:r w:rsidR="00B0325B" w:rsidRPr="00B0325B">
        <w:t xml:space="preserve">. </w:t>
      </w:r>
      <w:r w:rsidR="0093072E" w:rsidRPr="0093072E">
        <w:t xml:space="preserve"> Pearson et al. </w:t>
      </w:r>
      <w:r w:rsidR="0093072E">
        <w:t>(</w:t>
      </w:r>
      <w:r w:rsidR="0093072E" w:rsidRPr="0093072E">
        <w:t>2006</w:t>
      </w:r>
      <w:r w:rsidR="0093072E">
        <w:t xml:space="preserve">) </w:t>
      </w:r>
      <w:r w:rsidR="0093072E" w:rsidRPr="0093072E">
        <w:t xml:space="preserve"> </w:t>
      </w:r>
      <w:r w:rsidR="0093072E">
        <w:t xml:space="preserve">suggested management measures should aim at keeping scrub encroachment below 20% of the total surface maintaining some </w:t>
      </w:r>
      <w:r w:rsidR="0093072E" w:rsidRPr="0093072E">
        <w:t xml:space="preserve">scrub habitats in their own right, </w:t>
      </w:r>
      <w:r w:rsidR="00B0325B">
        <w:t xml:space="preserve">but retaining the balance of open grassland. </w:t>
      </w:r>
    </w:p>
    <w:p w:rsidR="00A7490F" w:rsidRDefault="00B0325B" w:rsidP="00A7490F">
      <w:r>
        <w:t xml:space="preserve">Therefore the project recommend a change from measuring scrub at the </w:t>
      </w:r>
      <w:r w:rsidRPr="00B0325B">
        <w:t>relevé</w:t>
      </w:r>
      <w:r>
        <w:t xml:space="preserve"> assessment to a percentage cover within the field</w:t>
      </w:r>
      <w:r w:rsidR="00E25658">
        <w:t xml:space="preserve"> which should be below 10% </w:t>
      </w:r>
      <w:r w:rsidR="00AD6742">
        <w:t>of the total surface of the field.</w:t>
      </w:r>
    </w:p>
    <w:p w:rsidR="00A7490F" w:rsidRDefault="00A7490F" w:rsidP="00A7490F"/>
    <w:p w:rsidR="00051A40" w:rsidRDefault="00B15D33" w:rsidP="00B15D33">
      <w:pPr>
        <w:rPr>
          <w:b/>
        </w:rPr>
      </w:pPr>
      <w:r>
        <w:rPr>
          <w:b/>
        </w:rPr>
        <w:t xml:space="preserve">Further information can be found in Annex </w:t>
      </w:r>
      <w:r w:rsidRPr="00B15D33">
        <w:rPr>
          <w:b/>
        </w:rPr>
        <w:t xml:space="preserve">7.2.9 </w:t>
      </w:r>
      <w:r>
        <w:rPr>
          <w:b/>
        </w:rPr>
        <w:t xml:space="preserve">D.1 Habitat Management Report and </w:t>
      </w:r>
      <w:r w:rsidRPr="00B15D33">
        <w:rPr>
          <w:b/>
        </w:rPr>
        <w:t>Annex 7.2.10 D</w:t>
      </w:r>
      <w:r>
        <w:rPr>
          <w:b/>
        </w:rPr>
        <w:t xml:space="preserve">.2 Ecosystems Services Report. </w:t>
      </w:r>
    </w:p>
    <w:p w:rsidR="00B15D33" w:rsidRDefault="00B15D33" w:rsidP="006A7033">
      <w:pPr>
        <w:rPr>
          <w:b/>
        </w:rPr>
      </w:pPr>
    </w:p>
    <w:p w:rsidR="00A42A53" w:rsidRDefault="00AD6742" w:rsidP="006A7033">
      <w:r>
        <w:rPr>
          <w:b/>
        </w:rPr>
        <w:t>References</w:t>
      </w:r>
    </w:p>
    <w:p w:rsidR="00A42A53" w:rsidRDefault="00A42A53" w:rsidP="006A7033">
      <w:r w:rsidRPr="00A42A53">
        <w:t xml:space="preserve">Beddows, A. R., (1959). </w:t>
      </w:r>
      <w:proofErr w:type="spellStart"/>
      <w:proofErr w:type="gramStart"/>
      <w:r w:rsidRPr="00A42A53">
        <w:t>Dactylis</w:t>
      </w:r>
      <w:proofErr w:type="spellEnd"/>
      <w:r w:rsidRPr="00A42A53">
        <w:t xml:space="preserve"> </w:t>
      </w:r>
      <w:proofErr w:type="spellStart"/>
      <w:r w:rsidRPr="00A42A53">
        <w:t>glomerata</w:t>
      </w:r>
      <w:proofErr w:type="spellEnd"/>
      <w:r w:rsidRPr="00A42A53">
        <w:t xml:space="preserve"> L. (Ed. 11) No. 2169.</w:t>
      </w:r>
      <w:proofErr w:type="gramEnd"/>
      <w:r w:rsidRPr="00A42A53">
        <w:t xml:space="preserve"> List Br. </w:t>
      </w:r>
      <w:proofErr w:type="spellStart"/>
      <w:r w:rsidRPr="00A42A53">
        <w:t>Vasc</w:t>
      </w:r>
      <w:proofErr w:type="spellEnd"/>
      <w:r w:rsidRPr="00A42A53">
        <w:t xml:space="preserve">. Pl. No. 6781 [Biological Flora of the British Isles. </w:t>
      </w:r>
      <w:proofErr w:type="gramStart"/>
      <w:r w:rsidRPr="00A42A53">
        <w:t>Journal of Ecology 47(1), 223-39</w:t>
      </w:r>
      <w:r w:rsidR="006D0935">
        <w:t>.</w:t>
      </w:r>
      <w:proofErr w:type="gramEnd"/>
    </w:p>
    <w:p w:rsidR="00AD6742" w:rsidRDefault="00AD6742" w:rsidP="006A7033">
      <w:proofErr w:type="spellStart"/>
      <w:r w:rsidRPr="00AD6742">
        <w:t>Calaciura</w:t>
      </w:r>
      <w:proofErr w:type="spellEnd"/>
      <w:r w:rsidRPr="00AD6742">
        <w:t xml:space="preserve"> B., Spinelli O. (2008). </w:t>
      </w:r>
      <w:proofErr w:type="gramStart"/>
      <w:r w:rsidRPr="00AD6742">
        <w:t>Management of Natura 2000 habitats.</w:t>
      </w:r>
      <w:proofErr w:type="gramEnd"/>
      <w:r w:rsidRPr="00AD6742">
        <w:t xml:space="preserve"> </w:t>
      </w:r>
      <w:proofErr w:type="gramStart"/>
      <w:r w:rsidRPr="00AD6742">
        <w:t>6210 Semi-natural dry grasslands and scrubland facies on calcareous substrates (</w:t>
      </w:r>
      <w:proofErr w:type="spellStart"/>
      <w:r w:rsidRPr="00AD6742">
        <w:t>Festuco-Brometalia</w:t>
      </w:r>
      <w:proofErr w:type="spellEnd"/>
      <w:r w:rsidRPr="00AD6742">
        <w:t>) (*important orchid sites).</w:t>
      </w:r>
      <w:proofErr w:type="gramEnd"/>
      <w:r w:rsidRPr="00AD6742">
        <w:t xml:space="preserve"> </w:t>
      </w:r>
      <w:proofErr w:type="gramStart"/>
      <w:r w:rsidRPr="00AD6742">
        <w:t>European Commission</w:t>
      </w:r>
      <w:r w:rsidR="006D0935">
        <w:t>.</w:t>
      </w:r>
      <w:proofErr w:type="gramEnd"/>
    </w:p>
    <w:p w:rsidR="006A7033" w:rsidRDefault="006A7033" w:rsidP="006A7033">
      <w:r>
        <w:t>Crofts A. and Jefferson R.G. (</w:t>
      </w:r>
      <w:proofErr w:type="spellStart"/>
      <w:proofErr w:type="gramStart"/>
      <w:r>
        <w:t>eds</w:t>
      </w:r>
      <w:proofErr w:type="spellEnd"/>
      <w:proofErr w:type="gramEnd"/>
      <w:r>
        <w:t xml:space="preserve">) </w:t>
      </w:r>
      <w:r w:rsidR="00E25658">
        <w:t>(</w:t>
      </w:r>
      <w:r>
        <w:t>1999</w:t>
      </w:r>
      <w:r w:rsidR="00E25658">
        <w:t>)</w:t>
      </w:r>
      <w:r>
        <w:t xml:space="preserve">. </w:t>
      </w:r>
      <w:proofErr w:type="gramStart"/>
      <w:r>
        <w:t>The Lowland Grassland Management Handbook.</w:t>
      </w:r>
      <w:proofErr w:type="gramEnd"/>
      <w:r>
        <w:t xml:space="preserve"> </w:t>
      </w:r>
      <w:proofErr w:type="gramStart"/>
      <w:r>
        <w:t>2nd edition.</w:t>
      </w:r>
      <w:proofErr w:type="gramEnd"/>
      <w:r>
        <w:t xml:space="preserve"> English Nature/The Wildlife Trusts. </w:t>
      </w:r>
      <w:proofErr w:type="gramStart"/>
      <w:r>
        <w:t>Royal Society for Nature Conservation</w:t>
      </w:r>
      <w:r w:rsidR="006D0935">
        <w:t>.</w:t>
      </w:r>
      <w:proofErr w:type="gramEnd"/>
    </w:p>
    <w:p w:rsidR="00E25658" w:rsidRDefault="00E25658" w:rsidP="006A7033">
      <w:proofErr w:type="gramStart"/>
      <w:r>
        <w:t>Hynes I (2017).</w:t>
      </w:r>
      <w:proofErr w:type="gramEnd"/>
      <w:r>
        <w:t xml:space="preserve"> Contribution of habitat patches to the Invertebrate biodiversity on Inis Oírr using Rapid Biodiversity Assessment. </w:t>
      </w:r>
      <w:proofErr w:type="gramStart"/>
      <w:r>
        <w:t>Unpublished thesis.</w:t>
      </w:r>
      <w:proofErr w:type="gramEnd"/>
      <w:r>
        <w:t xml:space="preserve"> B </w:t>
      </w:r>
      <w:proofErr w:type="spellStart"/>
      <w:r>
        <w:t>Sc</w:t>
      </w:r>
      <w:proofErr w:type="spellEnd"/>
      <w:r>
        <w:t xml:space="preserve"> </w:t>
      </w:r>
      <w:r w:rsidR="006D0935">
        <w:t>(Hons) in Environmental Science,</w:t>
      </w:r>
      <w:r>
        <w:t xml:space="preserve"> NUIG</w:t>
      </w:r>
      <w:r w:rsidR="006D0935">
        <w:t>.</w:t>
      </w:r>
    </w:p>
    <w:p w:rsidR="00AD6742" w:rsidRDefault="00AD6742" w:rsidP="006A7033">
      <w:proofErr w:type="gramStart"/>
      <w:r w:rsidRPr="00AD6742">
        <w:t>NPWS (2013).</w:t>
      </w:r>
      <w:proofErr w:type="gramEnd"/>
      <w:r w:rsidRPr="00AD6742">
        <w:t xml:space="preserve"> </w:t>
      </w:r>
      <w:proofErr w:type="gramStart"/>
      <w:r w:rsidRPr="00AD6742">
        <w:t>The Status of Protected EU Habitats and Species in Ireland.</w:t>
      </w:r>
      <w:proofErr w:type="gramEnd"/>
      <w:r w:rsidRPr="00AD6742">
        <w:t xml:space="preserve"> </w:t>
      </w:r>
      <w:proofErr w:type="gramStart"/>
      <w:r w:rsidRPr="00AD6742">
        <w:t>Overview Volume 1.</w:t>
      </w:r>
      <w:proofErr w:type="gramEnd"/>
      <w:r w:rsidRPr="00AD6742">
        <w:t xml:space="preserve"> </w:t>
      </w:r>
      <w:proofErr w:type="gramStart"/>
      <w:r w:rsidRPr="00AD6742">
        <w:t>Unpublished Report, National Parks &amp; Wildlife Services.</w:t>
      </w:r>
      <w:proofErr w:type="gramEnd"/>
      <w:r w:rsidRPr="00AD6742">
        <w:t xml:space="preserve"> </w:t>
      </w:r>
      <w:proofErr w:type="gramStart"/>
      <w:r w:rsidRPr="00AD6742">
        <w:t>Department of Arts, Heritage and the Gaeltacht, Dublin, Ireland.</w:t>
      </w:r>
      <w:proofErr w:type="gramEnd"/>
      <w:r w:rsidRPr="00AD6742">
        <w:t xml:space="preserve"> Editor: Deirdre Lynn</w:t>
      </w:r>
      <w:r w:rsidR="006D0935">
        <w:t>.</w:t>
      </w:r>
    </w:p>
    <w:p w:rsidR="00AD6742" w:rsidRDefault="00AD6742" w:rsidP="000B256C">
      <w:r>
        <w:t>O’Neill, F.H., Martin, J.R., Devaney, F.M. &amp; Perrin, P.M. (2013)</w:t>
      </w:r>
      <w:r w:rsidR="006D0935">
        <w:t>.</w:t>
      </w:r>
      <w:r>
        <w:t xml:space="preserve"> The Irish semi-natural grasslands survey 2007-2012. </w:t>
      </w:r>
      <w:proofErr w:type="gramStart"/>
      <w:r>
        <w:t>Irish Wildlife Manuals, No. 78.</w:t>
      </w:r>
      <w:proofErr w:type="gramEnd"/>
      <w:r>
        <w:t xml:space="preserve"> </w:t>
      </w:r>
      <w:proofErr w:type="gramStart"/>
      <w:r>
        <w:t xml:space="preserve">National Parks and Wildlife Service, Department </w:t>
      </w:r>
      <w:proofErr w:type="spellStart"/>
      <w:r>
        <w:t>ofArts</w:t>
      </w:r>
      <w:proofErr w:type="spellEnd"/>
      <w:r>
        <w:t>, Heri</w:t>
      </w:r>
      <w:r w:rsidR="00E25658">
        <w:t>tage and the Gaeltacht, Ireland</w:t>
      </w:r>
      <w:r w:rsidR="006D0935">
        <w:t>.</w:t>
      </w:r>
      <w:proofErr w:type="gramEnd"/>
    </w:p>
    <w:p w:rsidR="00A7490F" w:rsidRDefault="000B256C" w:rsidP="00C36946">
      <w:proofErr w:type="gramStart"/>
      <w:r>
        <w:t xml:space="preserve">Pearson S., </w:t>
      </w:r>
      <w:proofErr w:type="spellStart"/>
      <w:r>
        <w:t>Schiess-Bühler</w:t>
      </w:r>
      <w:proofErr w:type="spellEnd"/>
      <w:r>
        <w:t xml:space="preserve"> C., </w:t>
      </w:r>
      <w:proofErr w:type="spellStart"/>
      <w:r>
        <w:t>Hedinger</w:t>
      </w:r>
      <w:proofErr w:type="spellEnd"/>
      <w:r>
        <w:t xml:space="preserve"> C., Martin M., </w:t>
      </w:r>
      <w:proofErr w:type="spellStart"/>
      <w:r>
        <w:t>Volkart</w:t>
      </w:r>
      <w:proofErr w:type="spellEnd"/>
      <w:r>
        <w:t xml:space="preserve"> G. </w:t>
      </w:r>
      <w:r w:rsidR="00AD6742">
        <w:t>(</w:t>
      </w:r>
      <w:r>
        <w:t>2006</w:t>
      </w:r>
      <w:r w:rsidR="00AD6742">
        <w:t>)</w:t>
      </w:r>
      <w:r>
        <w:t>.</w:t>
      </w:r>
      <w:proofErr w:type="gramEnd"/>
      <w:r>
        <w:t xml:space="preserve"> </w:t>
      </w:r>
      <w:proofErr w:type="spellStart"/>
      <w:proofErr w:type="gramStart"/>
      <w:r>
        <w:t>Gestione</w:t>
      </w:r>
      <w:proofErr w:type="spellEnd"/>
      <w:r>
        <w:t xml:space="preserve"> di </w:t>
      </w:r>
      <w:proofErr w:type="spellStart"/>
      <w:r>
        <w:t>prati</w:t>
      </w:r>
      <w:proofErr w:type="spellEnd"/>
      <w:r>
        <w:t xml:space="preserve"> e </w:t>
      </w:r>
      <w:proofErr w:type="spellStart"/>
      <w:r>
        <w:t>pascoli</w:t>
      </w:r>
      <w:proofErr w:type="spellEnd"/>
      <w:r>
        <w:t xml:space="preserve"> </w:t>
      </w:r>
      <w:proofErr w:type="spellStart"/>
      <w:r>
        <w:t>secchi</w:t>
      </w:r>
      <w:proofErr w:type="spellEnd"/>
      <w:r>
        <w:t>.</w:t>
      </w:r>
      <w:proofErr w:type="gramEnd"/>
      <w:r>
        <w:t xml:space="preserve"> Editors: </w:t>
      </w:r>
      <w:proofErr w:type="spellStart"/>
      <w:r>
        <w:t>Ufficio</w:t>
      </w:r>
      <w:proofErr w:type="spellEnd"/>
      <w:r>
        <w:t xml:space="preserve"> </w:t>
      </w:r>
      <w:proofErr w:type="spellStart"/>
      <w:r>
        <w:t>federale</w:t>
      </w:r>
      <w:proofErr w:type="spellEnd"/>
      <w:r>
        <w:t xml:space="preserve"> </w:t>
      </w:r>
      <w:proofErr w:type="spellStart"/>
      <w:r>
        <w:t>dell’ambiente</w:t>
      </w:r>
      <w:proofErr w:type="spellEnd"/>
      <w:r>
        <w:t xml:space="preserve"> (UFAM), Berna; AGRIDEA, </w:t>
      </w:r>
      <w:r w:rsidR="00E25658">
        <w:t xml:space="preserve">Lindau, </w:t>
      </w:r>
      <w:proofErr w:type="spellStart"/>
      <w:r w:rsidR="00E25658">
        <w:t>Confederazione</w:t>
      </w:r>
      <w:proofErr w:type="spellEnd"/>
      <w:r w:rsidR="00E25658">
        <w:t xml:space="preserve"> </w:t>
      </w:r>
      <w:proofErr w:type="spellStart"/>
      <w:r w:rsidR="00E25658">
        <w:t>Svizzera</w:t>
      </w:r>
      <w:proofErr w:type="spellEnd"/>
      <w:r w:rsidR="006D0935">
        <w:t>.</w:t>
      </w:r>
    </w:p>
    <w:sectPr w:rsidR="00A7490F" w:rsidSect="00E11D2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6D"/>
    <w:rsid w:val="00051A40"/>
    <w:rsid w:val="000B2249"/>
    <w:rsid w:val="000B256C"/>
    <w:rsid w:val="00284E55"/>
    <w:rsid w:val="00443AF6"/>
    <w:rsid w:val="00455031"/>
    <w:rsid w:val="004A6D1C"/>
    <w:rsid w:val="005A0493"/>
    <w:rsid w:val="00640DBB"/>
    <w:rsid w:val="006A3537"/>
    <w:rsid w:val="006A7033"/>
    <w:rsid w:val="006D0935"/>
    <w:rsid w:val="00905A6D"/>
    <w:rsid w:val="0093072E"/>
    <w:rsid w:val="00A42A53"/>
    <w:rsid w:val="00A7490F"/>
    <w:rsid w:val="00AD6742"/>
    <w:rsid w:val="00B0325B"/>
    <w:rsid w:val="00B15D33"/>
    <w:rsid w:val="00B60EFC"/>
    <w:rsid w:val="00C36946"/>
    <w:rsid w:val="00E11D29"/>
    <w:rsid w:val="00E25658"/>
    <w:rsid w:val="00E57FD8"/>
    <w:rsid w:val="00F24016"/>
    <w:rsid w:val="00F414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946"/>
    <w:rPr>
      <w:color w:val="0000FF" w:themeColor="hyperlink"/>
      <w:u w:val="single"/>
    </w:rPr>
  </w:style>
  <w:style w:type="character" w:styleId="FollowedHyperlink">
    <w:name w:val="FollowedHyperlink"/>
    <w:basedOn w:val="DefaultParagraphFont"/>
    <w:uiPriority w:val="99"/>
    <w:semiHidden/>
    <w:unhideWhenUsed/>
    <w:rsid w:val="005A0493"/>
    <w:rPr>
      <w:color w:val="800080" w:themeColor="followedHyperlink"/>
      <w:u w:val="single"/>
    </w:rPr>
  </w:style>
  <w:style w:type="paragraph" w:styleId="BalloonText">
    <w:name w:val="Balloon Text"/>
    <w:basedOn w:val="Normal"/>
    <w:link w:val="BalloonTextChar"/>
    <w:uiPriority w:val="99"/>
    <w:semiHidden/>
    <w:unhideWhenUsed/>
    <w:rsid w:val="00E1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946"/>
    <w:rPr>
      <w:color w:val="0000FF" w:themeColor="hyperlink"/>
      <w:u w:val="single"/>
    </w:rPr>
  </w:style>
  <w:style w:type="character" w:styleId="FollowedHyperlink">
    <w:name w:val="FollowedHyperlink"/>
    <w:basedOn w:val="DefaultParagraphFont"/>
    <w:uiPriority w:val="99"/>
    <w:semiHidden/>
    <w:unhideWhenUsed/>
    <w:rsid w:val="005A0493"/>
    <w:rPr>
      <w:color w:val="800080" w:themeColor="followedHyperlink"/>
      <w:u w:val="single"/>
    </w:rPr>
  </w:style>
  <w:style w:type="paragraph" w:styleId="BalloonText">
    <w:name w:val="Balloon Text"/>
    <w:basedOn w:val="Normal"/>
    <w:link w:val="BalloonTextChar"/>
    <w:uiPriority w:val="99"/>
    <w:semiHidden/>
    <w:unhideWhenUsed/>
    <w:rsid w:val="00E1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McGurn</dc:creator>
  <cp:lastModifiedBy>AranLIFE</cp:lastModifiedBy>
  <cp:revision>7</cp:revision>
  <dcterms:created xsi:type="dcterms:W3CDTF">2019-01-07T21:17:00Z</dcterms:created>
  <dcterms:modified xsi:type="dcterms:W3CDTF">2019-01-08T13:14:00Z</dcterms:modified>
</cp:coreProperties>
</file>